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line="300"/>
        <w:jc w:val="center"/>
      </w:pPr>
      <w:r>
        <w:rPr>
          <w:rFonts w:ascii="Calibri" w:cs="Calibri" w:eastAsia="Calibri" w:hAnsi="Calibri"/>
          <w:b/>
          <w:bCs/>
          <w:color w:val="B92C36"/>
          <w:spacing w:val="8"/>
          <w:sz w:val="20"/>
          <w:szCs w:val="20"/>
        </w:rPr>
        <w:t xml:space="preserve">CLASSROOM NOTES</w:t>
      </w:r>
    </w:p>
    <w:p>
      <w:pPr>
        <w:spacing w:after="80" w:line="300"/>
        <w:jc w:val="center"/>
      </w:pPr>
      <w:r>
        <w:rPr>
          <w:rFonts w:ascii="Calibri" w:cs="Calibri" w:eastAsia="Calibri" w:hAnsi="Calibri"/>
          <w:b/>
          <w:bCs/>
          <w:color w:val="0B1F3A"/>
          <w:sz w:val="36"/>
          <w:szCs w:val="36"/>
        </w:rPr>
        <w:t xml:space="preserve">Mississippi's Economic Future and the Career Coach Pipeline</w:t>
      </w:r>
    </w:p>
    <w:p>
      <w:pPr>
        <w:spacing w:after="160" w:line="300"/>
        <w:jc w:val="center"/>
      </w:pPr>
      <w:r>
        <w:rPr>
          <w:rFonts w:ascii="Calibri" w:cs="Calibri" w:eastAsia="Calibri" w:hAnsi="Calibri"/>
          <w:i/>
          <w:iCs/>
          <w:color w:val="0B1F3A"/>
          <w:sz w:val="22"/>
          <w:szCs w:val="22"/>
        </w:rPr>
        <w:t xml:space="preserve">Remarks delivered by Bill Cork, Executive Director,</w:t>
      </w:r>
    </w:p>
    <w:p>
      <w:pPr>
        <w:spacing w:after="80" w:line="300"/>
        <w:jc w:val="center"/>
      </w:pPr>
      <w:r>
        <w:rPr>
          <w:rFonts w:ascii="Calibri" w:cs="Calibri" w:eastAsia="Calibri" w:hAnsi="Calibri"/>
          <w:i/>
          <w:iCs/>
          <w:color w:val="0B1F3A"/>
          <w:sz w:val="22"/>
          <w:szCs w:val="22"/>
        </w:rPr>
        <w:t xml:space="preserve">Mississippi Development Authority</w:t>
      </w:r>
    </w:p>
    <w:p>
      <w:pPr>
        <w:spacing w:after="360" w:line="300"/>
        <w:jc w:val="center"/>
      </w:pPr>
      <w:r>
        <w:rPr>
          <w:rFonts w:ascii="Calibri" w:cs="Calibri" w:eastAsia="Calibri" w:hAnsi="Calibri"/>
          <w:color w:val="555555"/>
          <w:sz w:val="20"/>
          <w:szCs w:val="20"/>
        </w:rPr>
        <w:t xml:space="preserve">AccelerateMS Career Coach Convening  |  Starkville, Mississippi</w:t>
      </w:r>
    </w:p>
    <w:p>
      <w:pPr>
        <w:pBdr>
          <w:bottom w:val="single" w:color="B8860B" w:sz="18" w:space="4"/>
        </w:pBdr>
        <w:spacing w:after="240"/>
      </w:pPr>
      <w:r>
        <w:t xml:space="preserve"/>
      </w:r>
    </w:p>
    <w:p>
      <w:pPr>
        <w:spacing w:after="180" w:before="360" w:line="300"/>
      </w:pPr>
      <w:r>
        <w:rPr>
          <w:rFonts w:ascii="Calibri" w:cs="Calibri" w:eastAsia="Calibri" w:hAnsi="Calibri"/>
          <w:b/>
          <w:bCs/>
          <w:color w:val="0B1F3A"/>
          <w:sz w:val="26"/>
          <w:szCs w:val="26"/>
        </w:rPr>
        <w:t xml:space="preserve">How to use these notes</w:t>
      </w:r>
    </w:p>
    <w:p>
      <w:pPr>
        <w:spacing w:after="160" w:line="300"/>
        <w:jc w:val="left"/>
      </w:pPr>
      <w:r>
        <w:rPr>
          <w:rFonts w:ascii="Calibri" w:cs="Calibri" w:eastAsia="Calibri" w:hAnsi="Calibri"/>
          <w:b w:val="false"/>
          <w:bCs w:val="false"/>
          <w:i w:val="false"/>
          <w:iCs w:val="false"/>
          <w:sz w:val="22"/>
          <w:szCs w:val="22"/>
        </w:rPr>
        <w:t xml:space="preserve">These are student-style notes covering Mr. Cork's remarks to the AccelerateMS Career Coach Convening. They are organized in the order the lecture was delivered. Major statistics appear in the red callout boxes. Synthesis points appear in the gold “why this matters” boxes. Direct quotes from the speaker appear indented in italics. A full source list with citations and links appears at the end.</w:t>
      </w:r>
    </w:p>
    <w:p>
      <w:pPr>
        <w:spacing w:after="160" w:line="300"/>
        <w:jc w:val="left"/>
      </w:pPr>
      <w:r>
        <w:rPr>
          <w:rFonts w:ascii="Calibri" w:cs="Calibri" w:eastAsia="Calibri" w:hAnsi="Calibri"/>
          <w:b w:val="false"/>
          <w:bCs w:val="false"/>
          <w:i w:val="false"/>
          <w:iCs w:val="false"/>
          <w:sz w:val="22"/>
          <w:szCs w:val="22"/>
        </w:rPr>
        <w:t xml:space="preserve">Time-stamps are approximate based on a 35 to 40 minute delivery. Use these notes as a companion to the recording when it becomes available, or as a stand-alone summary for sharing with parents, colleagues, students, and partners.</w:t>
      </w:r>
    </w:p>
    <w:p>
      <w:pPr>
        <w:pBdr>
          <w:bottom w:val="single" w:color="0B1F3A" w:sz="12" w:space="4"/>
        </w:pBdr>
        <w:spacing w:after="240" w:before="480" w:line="300"/>
      </w:pPr>
      <w:r>
        <w:rPr>
          <w:rFonts w:ascii="Calibri" w:cs="Calibri" w:eastAsia="Calibri" w:hAnsi="Calibri"/>
          <w:b/>
          <w:bCs/>
          <w:color w:val="0B1F3A"/>
          <w:spacing w:val="4"/>
          <w:sz w:val="32"/>
          <w:szCs w:val="32"/>
        </w:rPr>
        <w:t xml:space="preserve">LECTURE OUTLINE</w:t>
      </w:r>
    </w:p>
    <w:p>
      <w:pPr>
        <w:spacing w:after="160" w:line="300"/>
        <w:jc w:val="left"/>
      </w:pPr>
      <w:r>
        <w:rPr>
          <w:rFonts w:ascii="Calibri" w:cs="Calibri" w:eastAsia="Calibri" w:hAnsi="Calibri"/>
          <w:b w:val="false"/>
          <w:bCs w:val="false"/>
          <w:i w:val="false"/>
          <w:iCs w:val="false"/>
          <w:sz w:val="22"/>
          <w:szCs w:val="22"/>
        </w:rPr>
        <w:t xml:space="preserve">The speaker organized the talk around four questions:</w:t>
      </w:r>
    </w:p>
    <w:p>
      <w:pPr>
        <w:pStyle w:val="ListParagraph"/>
        <w:numPr>
          <w:ilvl w:val="0"/>
          <w:numId w:val="1"/>
        </w:numPr>
        <w:spacing w:after="100" w:line="300"/>
      </w:pPr>
      <w:r>
        <w:rPr>
          <w:rFonts w:ascii="Calibri" w:cs="Calibri" w:eastAsia="Calibri" w:hAnsi="Calibri"/>
          <w:b/>
          <w:bCs/>
          <w:i w:val="false"/>
          <w:iCs w:val="false"/>
          <w:color w:val="B92C36"/>
          <w:sz w:val="22"/>
          <w:szCs w:val="22"/>
        </w:rPr>
        <w:t xml:space="preserve">1.  </w:t>
      </w:r>
      <w:r>
        <w:rPr>
          <w:rFonts w:ascii="Calibri" w:cs="Calibri" w:eastAsia="Calibri" w:hAnsi="Calibri"/>
          <w:b w:val="false"/>
          <w:bCs w:val="false"/>
          <w:i w:val="false"/>
          <w:iCs w:val="false"/>
          <w:sz w:val="22"/>
          <w:szCs w:val="22"/>
        </w:rPr>
        <w:t xml:space="preserve">What has Mississippi already brought in, and what is still to come?</w:t>
      </w:r>
    </w:p>
    <w:p>
      <w:pPr>
        <w:pStyle w:val="ListParagraph"/>
        <w:numPr>
          <w:ilvl w:val="0"/>
          <w:numId w:val="1"/>
        </w:numPr>
        <w:spacing w:after="100" w:line="300"/>
      </w:pPr>
      <w:r>
        <w:rPr>
          <w:rFonts w:ascii="Calibri" w:cs="Calibri" w:eastAsia="Calibri" w:hAnsi="Calibri"/>
          <w:b/>
          <w:bCs/>
          <w:i w:val="false"/>
          <w:iCs w:val="false"/>
          <w:color w:val="B92C36"/>
          <w:sz w:val="22"/>
          <w:szCs w:val="22"/>
        </w:rPr>
        <w:t xml:space="preserve">2.  </w:t>
      </w:r>
      <w:r>
        <w:rPr>
          <w:rFonts w:ascii="Calibri" w:cs="Calibri" w:eastAsia="Calibri" w:hAnsi="Calibri"/>
          <w:b w:val="false"/>
          <w:bCs w:val="false"/>
          <w:i w:val="false"/>
          <w:iCs w:val="false"/>
          <w:sz w:val="22"/>
          <w:szCs w:val="22"/>
        </w:rPr>
        <w:t xml:space="preserve">What has MDA promised the companies that are investing here, and what do those promises mean for coaches?</w:t>
      </w:r>
    </w:p>
    <w:p>
      <w:pPr>
        <w:pStyle w:val="ListParagraph"/>
        <w:numPr>
          <w:ilvl w:val="0"/>
          <w:numId w:val="1"/>
        </w:numPr>
        <w:spacing w:after="100" w:line="300"/>
      </w:pPr>
      <w:r>
        <w:rPr>
          <w:rFonts w:ascii="Calibri" w:cs="Calibri" w:eastAsia="Calibri" w:hAnsi="Calibri"/>
          <w:b/>
          <w:bCs/>
          <w:i w:val="false"/>
          <w:iCs w:val="false"/>
          <w:color w:val="B92C36"/>
          <w:sz w:val="22"/>
          <w:szCs w:val="22"/>
        </w:rPr>
        <w:t xml:space="preserve">3.  </w:t>
      </w:r>
      <w:r>
        <w:rPr>
          <w:rFonts w:ascii="Calibri" w:cs="Calibri" w:eastAsia="Calibri" w:hAnsi="Calibri"/>
          <w:b w:val="false"/>
          <w:bCs w:val="false"/>
          <w:i w:val="false"/>
          <w:iCs w:val="false"/>
          <w:sz w:val="22"/>
          <w:szCs w:val="22"/>
        </w:rPr>
        <w:t xml:space="preserve">Why does the great work career coaches are already doing have to start earlier in a child's life?</w:t>
      </w:r>
    </w:p>
    <w:p>
      <w:pPr>
        <w:pStyle w:val="ListParagraph"/>
        <w:numPr>
          <w:ilvl w:val="0"/>
          <w:numId w:val="1"/>
        </w:numPr>
        <w:spacing w:after="100" w:line="300"/>
      </w:pPr>
      <w:r>
        <w:rPr>
          <w:rFonts w:ascii="Calibri" w:cs="Calibri" w:eastAsia="Calibri" w:hAnsi="Calibri"/>
          <w:b/>
          <w:bCs/>
          <w:i w:val="false"/>
          <w:iCs w:val="false"/>
          <w:color w:val="B92C36"/>
          <w:sz w:val="22"/>
          <w:szCs w:val="22"/>
        </w:rPr>
        <w:t xml:space="preserve">4.  </w:t>
      </w:r>
      <w:r>
        <w:rPr>
          <w:rFonts w:ascii="Calibri" w:cs="Calibri" w:eastAsia="Calibri" w:hAnsi="Calibri"/>
          <w:b w:val="false"/>
          <w:bCs w:val="false"/>
          <w:i w:val="false"/>
          <w:iCs w:val="false"/>
          <w:sz w:val="22"/>
          <w:szCs w:val="22"/>
        </w:rPr>
        <w:t xml:space="preserve">What do MDA and AccelerateMS have to prove together over the next 24 months, and how do they prove it?</w:t>
      </w:r>
    </w:p>
    <w:p>
      <w:pPr>
        <w:pBdr>
          <w:bottom w:val="single" w:color="0B1F3A" w:sz="12" w:space="4"/>
        </w:pBdr>
        <w:spacing w:after="240" w:before="480" w:line="300"/>
      </w:pPr>
      <w:r>
        <w:rPr>
          <w:rFonts w:ascii="Calibri" w:cs="Calibri" w:eastAsia="Calibri" w:hAnsi="Calibri"/>
          <w:b/>
          <w:bCs/>
          <w:color w:val="0B1F3A"/>
          <w:spacing w:val="4"/>
          <w:sz w:val="32"/>
          <w:szCs w:val="32"/>
        </w:rPr>
        <w:t xml:space="preserve">CENTRAL THESIS</w:t>
      </w:r>
    </w:p>
    <w:p>
      <w:pPr>
        <w:spacing w:after="160" w:line="300"/>
        <w:jc w:val="left"/>
      </w:pPr>
      <w:r>
        <w:rPr>
          <w:rFonts w:ascii="Calibri" w:cs="Calibri" w:eastAsia="Calibri" w:hAnsi="Calibri"/>
          <w:b w:val="false"/>
          <w:bCs w:val="false"/>
          <w:i w:val="false"/>
          <w:iCs w:val="false"/>
          <w:sz w:val="22"/>
          <w:szCs w:val="22"/>
        </w:rPr>
        <w:t xml:space="preserve">Mr. Cork opened with the observation that when he negotiates with CEOs considering Mississippi for a major investment, the first question they now ask is no longer about taxes, land, or even power. It is, “can you find me the people?”</w:t>
      </w:r>
    </w:p>
    <w:p>
      <w:pPr>
        <w:pBdr>
          <w:left w:val="single" w:color="0B1F3A" w:sz="16" w:space="10"/>
        </w:pBdr>
        <w:spacing w:after="180" w:before="160" w:line="300"/>
        <w:ind w:left="320" w:right="320"/>
      </w:pPr>
      <w:r>
        <w:rPr>
          <w:rFonts w:ascii="Calibri" w:cs="Calibri" w:eastAsia="Calibri" w:hAnsi="Calibri"/>
          <w:i/>
          <w:iCs/>
          <w:color w:val="0B1F3A"/>
          <w:sz w:val="22"/>
          <w:szCs w:val="22"/>
        </w:rPr>
        <w:t xml:space="preserve">“You are not adjacent to economic development. You are the closing argument.”</w:t>
      </w:r>
    </w:p>
    <w:p>
      <w:pPr>
        <w:pBdr>
          <w:left w:val="single" w:color="B8860B" w:sz="24" w:space="12"/>
        </w:pBdr>
        <w:shd w:fill="FFFCEC" w:color="FFFCEC" w:val="solid"/>
        <w:spacing w:after="200" w:before="200" w:line="300"/>
        <w:ind w:left="240"/>
      </w:pPr>
      <w:r>
        <w:rPr>
          <w:rFonts w:ascii="Calibri" w:cs="Calibri" w:eastAsia="Calibri" w:hAnsi="Calibri"/>
          <w:b/>
          <w:bCs/>
          <w:i/>
          <w:iCs/>
          <w:color w:val="B8860B"/>
          <w:sz w:val="20"/>
          <w:szCs w:val="20"/>
        </w:rPr>
        <w:t xml:space="preserve">Why this matters:  </w:t>
      </w:r>
      <w:r>
        <w:rPr>
          <w:rFonts w:ascii="Calibri" w:cs="Calibri" w:eastAsia="Calibri" w:hAnsi="Calibri"/>
          <w:i/>
          <w:iCs/>
          <w:color w:val="0B1F3A"/>
          <w:sz w:val="20"/>
          <w:szCs w:val="20"/>
        </w:rPr>
        <w:t xml:space="preserve">Career coaches are framed as the human bridge between MDA's recruitment commitments and the actual hiring that determines whether a deal succeeds. Every yes the state offers a CEO becomes a promise that has to be kept in classrooms, parent meetings, and one-on-one career conversations.</w:t>
      </w:r>
    </w:p>
    <w:p>
      <w:pPr>
        <w:pBdr>
          <w:bottom w:val="single" w:color="0B1F3A" w:sz="12" w:space="4"/>
        </w:pBdr>
        <w:spacing w:after="240" w:before="480" w:line="300"/>
      </w:pPr>
      <w:r>
        <w:rPr>
          <w:rFonts w:ascii="Calibri" w:cs="Calibri" w:eastAsia="Calibri" w:hAnsi="Calibri"/>
          <w:b/>
          <w:bCs/>
          <w:color w:val="0B1F3A"/>
          <w:spacing w:val="4"/>
          <w:sz w:val="32"/>
          <w:szCs w:val="32"/>
        </w:rPr>
        <w:t xml:space="preserve">PART I — THE SCALE OF WHAT IS COMING</w:t>
      </w:r>
    </w:p>
    <w:p>
      <w:pPr>
        <w:spacing w:after="180" w:before="360" w:line="300"/>
      </w:pPr>
      <w:r>
        <w:rPr>
          <w:rFonts w:ascii="Calibri" w:cs="Calibri" w:eastAsia="Calibri" w:hAnsi="Calibri"/>
          <w:b/>
          <w:bCs/>
          <w:color w:val="0B1F3A"/>
          <w:sz w:val="26"/>
          <w:szCs w:val="26"/>
        </w:rPr>
        <w:t xml:space="preserve">Aggregate performance since 2020</w:t>
      </w:r>
    </w:p>
    <w:p>
      <w:pPr>
        <w:pBdr>
          <w:left w:val="single" w:color="B92C36" w:sz="24" w:space="12"/>
        </w:pBdr>
        <w:shd w:fill="F4F1EA" w:color="F4F1EA" w:val="solid"/>
        <w:spacing w:after="200" w:before="160" w:line="300"/>
        <w:ind w:left="240"/>
      </w:pPr>
      <w:r>
        <w:rPr>
          <w:rFonts w:ascii="Calibri" w:cs="Calibri" w:eastAsia="Calibri" w:hAnsi="Calibri"/>
          <w:b/>
          <w:bCs/>
          <w:color w:val="B92C36"/>
          <w:spacing w:val="4"/>
          <w:sz w:val="18"/>
          <w:szCs w:val="18"/>
        </w:rPr>
        <w:t xml:space="preserve">SINCE 2020  </w:t>
      </w:r>
      <w:r>
        <w:rPr>
          <w:rFonts w:ascii="Calibri" w:cs="Calibri" w:eastAsia="Calibri" w:hAnsi="Calibri"/>
          <w:b/>
          <w:bCs/>
          <w:color w:val="0B1F3A"/>
          <w:sz w:val="22"/>
          <w:szCs w:val="22"/>
        </w:rPr>
        <w:t xml:space="preserve">235 projects announced  |  $79.1B capital investment  |  25,583 jobs</w:t>
      </w:r>
    </w:p>
    <w:p>
      <w:pPr>
        <w:spacing w:after="160" w:line="300"/>
        <w:jc w:val="left"/>
      </w:pPr>
      <w:r>
        <w:rPr>
          <w:rFonts w:ascii="Calibri" w:cs="Calibri" w:eastAsia="Calibri" w:hAnsi="Calibri"/>
          <w:b w:val="false"/>
          <w:bCs w:val="false"/>
          <w:i w:val="false"/>
          <w:iCs w:val="false"/>
          <w:sz w:val="22"/>
          <w:szCs w:val="22"/>
        </w:rPr>
        <w:t xml:space="preserve">Per capita, this places Mississippi among the most active economic development states in the country.</w:t>
      </w:r>
    </w:p>
    <w:p>
      <w:pPr>
        <w:spacing w:after="180" w:before="360" w:line="300"/>
      </w:pPr>
      <w:r>
        <w:rPr>
          <w:rFonts w:ascii="Calibri" w:cs="Calibri" w:eastAsia="Calibri" w:hAnsi="Calibri"/>
          <w:b/>
          <w:bCs/>
          <w:color w:val="0B1F3A"/>
          <w:sz w:val="26"/>
          <w:szCs w:val="26"/>
        </w:rPr>
        <w:t xml:space="preserve">Q1 2026 — the trajectory accelerates</w:t>
      </w:r>
    </w:p>
    <w:p>
      <w:pPr>
        <w:pBdr>
          <w:left w:val="single" w:color="B92C36" w:sz="24" w:space="12"/>
        </w:pBdr>
        <w:shd w:fill="F4F1EA" w:color="F4F1EA" w:val="solid"/>
        <w:spacing w:after="200" w:before="160" w:line="300"/>
        <w:ind w:left="240"/>
      </w:pPr>
      <w:r>
        <w:rPr>
          <w:rFonts w:ascii="Calibri" w:cs="Calibri" w:eastAsia="Calibri" w:hAnsi="Calibri"/>
          <w:b/>
          <w:bCs/>
          <w:color w:val="B92C36"/>
          <w:spacing w:val="4"/>
          <w:sz w:val="18"/>
          <w:szCs w:val="18"/>
        </w:rPr>
        <w:t xml:space="preserve">Q1 2026 ALONE  </w:t>
      </w:r>
      <w:r>
        <w:rPr>
          <w:rFonts w:ascii="Calibri" w:cs="Calibri" w:eastAsia="Calibri" w:hAnsi="Calibri"/>
          <w:b/>
          <w:bCs/>
          <w:color w:val="0B1F3A"/>
          <w:sz w:val="22"/>
          <w:szCs w:val="22"/>
        </w:rPr>
        <w:t xml:space="preserve">$32.7 billion in announced capital investment across 15 projects</w:t>
      </w:r>
    </w:p>
    <w:p>
      <w:pPr>
        <w:spacing w:after="160" w:line="300"/>
        <w:jc w:val="left"/>
      </w:pPr>
      <w:r>
        <w:rPr>
          <w:rFonts w:ascii="Calibri" w:cs="Calibri" w:eastAsia="Calibri" w:hAnsi="Calibri"/>
          <w:b w:val="false"/>
          <w:bCs w:val="false"/>
          <w:i w:val="false"/>
          <w:iCs w:val="false"/>
          <w:sz w:val="22"/>
          <w:szCs w:val="22"/>
        </w:rPr>
        <w:t xml:space="preserve">That single quarter exceeded the combined capital investment Mississippi announced across 2020, 2021, 2022, and 2023.</w:t>
      </w:r>
    </w:p>
    <w:p>
      <w:pPr>
        <w:spacing w:after="120" w:before="240" w:line="300"/>
      </w:pPr>
      <w:r>
        <w:rPr>
          <w:rFonts w:ascii="Calibri" w:cs="Calibri" w:eastAsia="Calibri" w:hAnsi="Calibri"/>
          <w:b/>
          <w:bCs/>
          <w:color w:val="B92C36"/>
          <w:sz w:val="24"/>
          <w:szCs w:val="24"/>
        </w:rPr>
        <w:t xml:space="preserve">Year-over-year trajectory</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2020 — $1.6 billion (a normal year for Mississippi at the time)</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2021 — $500 million</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2022 — $4.9 billion, mostly driven by Amplify Cell Technologies in Marshall County</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2023 — $1.3 billion</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2024 — $13.4 billion (the inflection point)</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2025 — $21.5 billion</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Q1 2026 — $32.7 billion in the first 100 days alone</w:t>
      </w:r>
    </w:p>
    <w:p>
      <w:pPr>
        <w:pBdr>
          <w:left w:val="single" w:color="B8860B" w:sz="24" w:space="12"/>
        </w:pBdr>
        <w:shd w:fill="FFFCEC" w:color="FFFCEC" w:val="solid"/>
        <w:spacing w:after="200" w:before="200" w:line="300"/>
        <w:ind w:left="240"/>
      </w:pPr>
      <w:r>
        <w:rPr>
          <w:rFonts w:ascii="Calibri" w:cs="Calibri" w:eastAsia="Calibri" w:hAnsi="Calibri"/>
          <w:b/>
          <w:bCs/>
          <w:i/>
          <w:iCs/>
          <w:color w:val="B8860B"/>
          <w:sz w:val="20"/>
          <w:szCs w:val="20"/>
        </w:rPr>
        <w:t xml:space="preserve">Why this matters:  </w:t>
      </w:r>
      <w:r>
        <w:rPr>
          <w:rFonts w:ascii="Calibri" w:cs="Calibri" w:eastAsia="Calibri" w:hAnsi="Calibri"/>
          <w:i/>
          <w:iCs/>
          <w:color w:val="0B1F3A"/>
          <w:sz w:val="20"/>
          <w:szCs w:val="20"/>
        </w:rPr>
        <w:t xml:space="preserve">The speaker emphasized that this is no longer incremental growth. The pace is accelerating.</w:t>
      </w:r>
    </w:p>
    <w:p>
      <w:pPr>
        <w:spacing w:after="120" w:before="240" w:line="300"/>
      </w:pPr>
      <w:r>
        <w:rPr>
          <w:rFonts w:ascii="Calibri" w:cs="Calibri" w:eastAsia="Calibri" w:hAnsi="Calibri"/>
          <w:b/>
          <w:bCs/>
          <w:color w:val="B92C36"/>
          <w:sz w:val="24"/>
          <w:szCs w:val="24"/>
        </w:rPr>
        <w:t xml:space="preserve">Wage trajectory</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2020 weighted-average salary across MDA projects: low $40,000s</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2025 weighted-average salary: above $55,000</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Several major 2025 projects (Anduril, Ergon, AVAIO, Integer Technologies) brought jobs paying $80,000 to $130,000</w:t>
      </w:r>
    </w:p>
    <w:p>
      <w:pPr>
        <w:spacing w:after="180" w:before="360" w:line="300"/>
      </w:pPr>
      <w:r>
        <w:rPr>
          <w:rFonts w:ascii="Calibri" w:cs="Calibri" w:eastAsia="Calibri" w:hAnsi="Calibri"/>
          <w:b/>
          <w:bCs/>
          <w:color w:val="0B1F3A"/>
          <w:sz w:val="26"/>
          <w:szCs w:val="26"/>
        </w:rPr>
        <w:t xml:space="preserve">Three signature deals</w:t>
      </w:r>
    </w:p>
    <w:p>
      <w:pPr>
        <w:spacing w:after="120" w:before="240" w:line="300"/>
      </w:pPr>
      <w:r>
        <w:rPr>
          <w:rFonts w:ascii="Calibri" w:cs="Calibri" w:eastAsia="Calibri" w:hAnsi="Calibri"/>
          <w:b/>
          <w:bCs/>
          <w:color w:val="B92C36"/>
          <w:sz w:val="24"/>
          <w:szCs w:val="24"/>
        </w:rPr>
        <w:t xml:space="preserve">1. xAI (DeSoto County)</w:t>
      </w:r>
    </w:p>
    <w:p>
      <w:pPr>
        <w:pBdr>
          <w:left w:val="single" w:color="B92C36" w:sz="24" w:space="12"/>
        </w:pBdr>
        <w:shd w:fill="F4F1EA" w:color="F4F1EA" w:val="solid"/>
        <w:spacing w:after="200" w:before="160" w:line="300"/>
        <w:ind w:left="240"/>
      </w:pPr>
      <w:r>
        <w:rPr>
          <w:rFonts w:ascii="Calibri" w:cs="Calibri" w:eastAsia="Calibri" w:hAnsi="Calibri"/>
          <w:b/>
          <w:bCs/>
          <w:color w:val="B92C36"/>
          <w:spacing w:val="4"/>
          <w:sz w:val="18"/>
          <w:szCs w:val="18"/>
        </w:rPr>
        <w:t xml:space="preserve">XAI  </w:t>
      </w:r>
      <w:r>
        <w:rPr>
          <w:rFonts w:ascii="Calibri" w:cs="Calibri" w:eastAsia="Calibri" w:hAnsi="Calibri"/>
          <w:b/>
          <w:bCs/>
          <w:color w:val="0B1F3A"/>
          <w:sz w:val="22"/>
          <w:szCs w:val="22"/>
        </w:rPr>
        <w:t xml:space="preserve">$20 billion  |  Largest single economic development project in Mississippi history</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In November 2024, Governor Reeves and Mr. Cork toured xAI's Colossus supercomputer facility in extreme southwest Tennessee, less than 2 miles from the Mississippi state line.</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Speaker described the facility as “controlled chaos”: an electrical substation being built in real time, natural gas generators in the parking lot, a million-square-foot warehouse under simultaneous design and construction.</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In January 2026, the project was announced at a press conference in Southaven, DeSoto County.</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Twice the size of the AWS announcement that preceded it.</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More than 100 high-paying permanent jobs plus thousands of construction jobs to build it.</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Notable feature: xAI did not request a special legislative session, constitutional workaround, or special carve-outs. They asked only for the tax structure already on the books.</w:t>
      </w:r>
    </w:p>
    <w:p>
      <w:pPr>
        <w:pBdr>
          <w:left w:val="single" w:color="0B1F3A" w:sz="16" w:space="10"/>
        </w:pBdr>
        <w:spacing w:after="180" w:before="160" w:line="300"/>
        <w:ind w:left="320" w:right="320"/>
      </w:pPr>
      <w:r>
        <w:rPr>
          <w:rFonts w:ascii="Calibri" w:cs="Calibri" w:eastAsia="Calibri" w:hAnsi="Calibri"/>
          <w:i/>
          <w:iCs/>
          <w:color w:val="0B1F3A"/>
          <w:sz w:val="22"/>
          <w:szCs w:val="22"/>
        </w:rPr>
        <w:t xml:space="preserve">“That is what speed looks like when a state is ready.”</w:t>
      </w:r>
    </w:p>
    <w:p>
      <w:pPr>
        <w:spacing w:after="120" w:before="240" w:line="300"/>
      </w:pPr>
      <w:r>
        <w:rPr>
          <w:rFonts w:ascii="Calibri" w:cs="Calibri" w:eastAsia="Calibri" w:hAnsi="Calibri"/>
          <w:b/>
          <w:bCs/>
          <w:color w:val="B92C36"/>
          <w:sz w:val="24"/>
          <w:szCs w:val="24"/>
        </w:rPr>
        <w:t xml:space="preserve">2. Amazon Web Services (Madison, Hinds, Warren Counties)</w:t>
      </w:r>
    </w:p>
    <w:p>
      <w:pPr>
        <w:pBdr>
          <w:left w:val="single" w:color="B92C36" w:sz="24" w:space="12"/>
        </w:pBdr>
        <w:shd w:fill="F4F1EA" w:color="F4F1EA" w:val="solid"/>
        <w:spacing w:after="200" w:before="160" w:line="300"/>
        <w:ind w:left="240"/>
      </w:pPr>
      <w:r>
        <w:rPr>
          <w:rFonts w:ascii="Calibri" w:cs="Calibri" w:eastAsia="Calibri" w:hAnsi="Calibri"/>
          <w:b/>
          <w:bCs/>
          <w:color w:val="B92C36"/>
          <w:spacing w:val="4"/>
          <w:sz w:val="18"/>
          <w:szCs w:val="18"/>
        </w:rPr>
        <w:t xml:space="preserve">AMAZON  </w:t>
      </w:r>
      <w:r>
        <w:rPr>
          <w:rFonts w:ascii="Calibri" w:cs="Calibri" w:eastAsia="Calibri" w:hAnsi="Calibri"/>
          <w:b/>
          <w:bCs/>
          <w:color w:val="0B1F3A"/>
          <w:sz w:val="22"/>
          <w:szCs w:val="22"/>
        </w:rPr>
        <w:t xml:space="preserve">$25 billion total  |  2,000+ permanent jobs  |  Generational investment</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Initial commitment in 2024 was $10 billion for a hyperscale data center campus in Madison County. The total announced commitment has since grown to $25 billion across Madison, Warren, and Hinds Counties.</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AWS has reported impacting more than 6,500 Mississippians in construction, cloud computing, data center operations, networking, and fiber installation.</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Amazon built the Amazon Community Workforce Accelerator in Madison County — a purpose-built post-secondary training facility.</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Partnered with Holmes Community College and Hinds Community College to develop fiber-optic technician certification programs.</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Donated decommissioned data center equipment to support hands-on training.</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Cybersecurity and IT pipelines now standing up at Holmes, Hinds, and Vicksburg Warren School District. Permanent institutional capacity for the next 30 years.</w:t>
      </w:r>
    </w:p>
    <w:p>
      <w:pPr>
        <w:pBdr>
          <w:left w:val="single" w:color="B8860B" w:sz="24" w:space="12"/>
        </w:pBdr>
        <w:shd w:fill="FFFCEC" w:color="FFFCEC" w:val="solid"/>
        <w:spacing w:after="200" w:before="200" w:line="300"/>
        <w:ind w:left="240"/>
      </w:pPr>
      <w:r>
        <w:rPr>
          <w:rFonts w:ascii="Calibri" w:cs="Calibri" w:eastAsia="Calibri" w:hAnsi="Calibri"/>
          <w:b/>
          <w:bCs/>
          <w:i/>
          <w:iCs/>
          <w:color w:val="B8860B"/>
          <w:sz w:val="20"/>
          <w:szCs w:val="20"/>
        </w:rPr>
        <w:t xml:space="preserve">Why this matters:  </w:t>
      </w:r>
      <w:r>
        <w:rPr>
          <w:rFonts w:ascii="Calibri" w:cs="Calibri" w:eastAsia="Calibri" w:hAnsi="Calibri"/>
          <w:i/>
          <w:iCs/>
          <w:color w:val="0B1F3A"/>
          <w:sz w:val="20"/>
          <w:szCs w:val="20"/>
        </w:rPr>
        <w:t xml:space="preserve">The Amazon deal illustrates the multiplier of a single anchor: one good deal builds permanent training infrastructure that benefits the next 30 years of Mississippi workers, not just one company.</w:t>
      </w:r>
    </w:p>
    <w:p>
      <w:pPr>
        <w:spacing w:after="120" w:before="240" w:line="300"/>
      </w:pPr>
      <w:r>
        <w:rPr>
          <w:rFonts w:ascii="Calibri" w:cs="Calibri" w:eastAsia="Calibri" w:hAnsi="Calibri"/>
          <w:b/>
          <w:bCs/>
          <w:color w:val="B92C36"/>
          <w:sz w:val="24"/>
          <w:szCs w:val="24"/>
        </w:rPr>
        <w:t xml:space="preserve">3. Aluminum Dynamics (Lowndes County)</w:t>
      </w:r>
    </w:p>
    <w:p>
      <w:pPr>
        <w:pBdr>
          <w:left w:val="single" w:color="B92C36" w:sz="24" w:space="12"/>
        </w:pBdr>
        <w:shd w:fill="F4F1EA" w:color="F4F1EA" w:val="solid"/>
        <w:spacing w:after="200" w:before="160" w:line="300"/>
        <w:ind w:left="240"/>
      </w:pPr>
      <w:r>
        <w:rPr>
          <w:rFonts w:ascii="Calibri" w:cs="Calibri" w:eastAsia="Calibri" w:hAnsi="Calibri"/>
          <w:b/>
          <w:bCs/>
          <w:color w:val="B92C36"/>
          <w:spacing w:val="4"/>
          <w:sz w:val="18"/>
          <w:szCs w:val="18"/>
        </w:rPr>
        <w:t xml:space="preserve">ALUMINUM DYNAMICS  </w:t>
      </w:r>
      <w:r>
        <w:rPr>
          <w:rFonts w:ascii="Calibri" w:cs="Calibri" w:eastAsia="Calibri" w:hAnsi="Calibri"/>
          <w:b/>
          <w:bCs/>
          <w:color w:val="0B1F3A"/>
          <w:sz w:val="22"/>
          <w:szCs w:val="22"/>
        </w:rPr>
        <w:t xml:space="preserve">$2.5 billion  |  Most advanced aluminum mill in North America  |  Hiring now</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Located just outside Columbus.</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Speaker described this as the kind of project Mississippi historically lost to Kentucky, Tennessee, or South Carolina because the state did not have the workforce, sites, or speed.</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The win was credited to years of preparation by the Lowndes County team, the Golden Triangle Development LINK, Mississippi University for Women, and East Mississippi Community College.</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Shortly after Aluminum Dynamics announced, German firm Kloeckner Metals announced an $86 million investment in Lowndes County as a co-located customer of the new mill.</w:t>
      </w:r>
    </w:p>
    <w:p>
      <w:pPr>
        <w:pBdr>
          <w:left w:val="single" w:color="B8860B" w:sz="24" w:space="12"/>
        </w:pBdr>
        <w:shd w:fill="FFFCEC" w:color="FFFCEC" w:val="solid"/>
        <w:spacing w:after="200" w:before="200" w:line="300"/>
        <w:ind w:left="240"/>
      </w:pPr>
      <w:r>
        <w:rPr>
          <w:rFonts w:ascii="Calibri" w:cs="Calibri" w:eastAsia="Calibri" w:hAnsi="Calibri"/>
          <w:b/>
          <w:bCs/>
          <w:i/>
          <w:iCs/>
          <w:color w:val="B8860B"/>
          <w:sz w:val="20"/>
          <w:szCs w:val="20"/>
        </w:rPr>
        <w:t xml:space="preserve">Why this matters:  </w:t>
      </w:r>
      <w:r>
        <w:rPr>
          <w:rFonts w:ascii="Calibri" w:cs="Calibri" w:eastAsia="Calibri" w:hAnsi="Calibri"/>
          <w:i/>
          <w:iCs/>
          <w:color w:val="0B1F3A"/>
          <w:sz w:val="20"/>
          <w:szCs w:val="20"/>
        </w:rPr>
        <w:t xml:space="preserve">The Kloeckner follow-on demonstrates the supply-chain multiplier: one anchor tenant attracts the supply chain, which then attracts the next anchor tenant. This is what economic developers refer to as a “multiplier effect.”</w:t>
      </w:r>
    </w:p>
    <w:p>
      <w:pPr>
        <w:spacing w:after="180" w:before="360" w:line="300"/>
      </w:pPr>
      <w:r>
        <w:rPr>
          <w:rFonts w:ascii="Calibri" w:cs="Calibri" w:eastAsia="Calibri" w:hAnsi="Calibri"/>
          <w:b/>
          <w:bCs/>
          <w:color w:val="0B1F3A"/>
          <w:sz w:val="26"/>
          <w:szCs w:val="26"/>
        </w:rPr>
        <w:t xml:space="preserve">Geographic distribution — not a regional story</w:t>
      </w:r>
    </w:p>
    <w:p>
      <w:pPr>
        <w:spacing w:after="160" w:line="300"/>
        <w:jc w:val="left"/>
      </w:pPr>
      <w:r>
        <w:rPr>
          <w:rFonts w:ascii="Calibri" w:cs="Calibri" w:eastAsia="Calibri" w:hAnsi="Calibri"/>
          <w:b w:val="false"/>
          <w:bCs w:val="false"/>
          <w:i w:val="false"/>
          <w:iCs w:val="false"/>
          <w:sz w:val="22"/>
          <w:szCs w:val="22"/>
        </w:rPr>
        <w:t xml:space="preserve">Of Mississippi's 82 counties, more than 50 have had at least one announced project in the last six years, including counties that had not seen a major announcement in living memory.</w:t>
      </w:r>
    </w:p>
    <w:p>
      <w:pPr>
        <w:spacing w:after="160" w:line="300"/>
        <w:jc w:val="left"/>
      </w:pPr>
      <w:r>
        <w:rPr>
          <w:rFonts w:ascii="Calibri" w:cs="Calibri" w:eastAsia="Calibri" w:hAnsi="Calibri"/>
          <w:b w:val="false"/>
          <w:bCs w:val="false"/>
          <w:i w:val="false"/>
          <w:iCs w:val="false"/>
          <w:sz w:val="22"/>
          <w:szCs w:val="22"/>
        </w:rPr>
        <w:t xml:space="preserve">Counties named by the speaker:</w:t>
      </w:r>
    </w:p>
    <w:p>
      <w:pPr>
        <w:spacing w:after="160" w:line="300"/>
        <w:jc w:val="left"/>
      </w:pPr>
      <w:r>
        <w:rPr>
          <w:rFonts w:ascii="Calibri" w:cs="Calibri" w:eastAsia="Calibri" w:hAnsi="Calibri"/>
          <w:b w:val="false"/>
          <w:bCs w:val="false"/>
          <w:i/>
          <w:iCs/>
          <w:color w:val="555555"/>
          <w:sz w:val="22"/>
          <w:szCs w:val="22"/>
        </w:rPr>
        <w:t xml:space="preserve">DeSoto, Marshall, Tunica, Hinds, Madison, Lowndes, Monroe, Lee, Jones, Forrest, Harrison, Jackson, Warren, Tallahatchie, Rankin, Clarke, Simpson, Scott, Panola, Wayne, Adams, Walthall, Stone, Coahoma, Noxubee.</w:t>
      </w:r>
    </w:p>
    <w:p>
      <w:pPr>
        <w:pBdr>
          <w:left w:val="single" w:color="B8860B" w:sz="24" w:space="12"/>
        </w:pBdr>
        <w:shd w:fill="FFFCEC" w:color="FFFCEC" w:val="solid"/>
        <w:spacing w:after="200" w:before="200" w:line="300"/>
        <w:ind w:left="240"/>
      </w:pPr>
      <w:r>
        <w:rPr>
          <w:rFonts w:ascii="Calibri" w:cs="Calibri" w:eastAsia="Calibri" w:hAnsi="Calibri"/>
          <w:b/>
          <w:bCs/>
          <w:i/>
          <w:iCs/>
          <w:color w:val="B8860B"/>
          <w:sz w:val="20"/>
          <w:szCs w:val="20"/>
        </w:rPr>
        <w:t xml:space="preserve">Why this matters:  </w:t>
      </w:r>
      <w:r>
        <w:rPr>
          <w:rFonts w:ascii="Calibri" w:cs="Calibri" w:eastAsia="Calibri" w:hAnsi="Calibri"/>
          <w:i/>
          <w:iCs/>
          <w:color w:val="0B1F3A"/>
          <w:sz w:val="20"/>
          <w:szCs w:val="20"/>
        </w:rPr>
        <w:t xml:space="preserve">Every coach in the room was reminded that their service area is within 45 minutes of a major announced project, and that their students are eligible to compete for those jobs.</w:t>
      </w:r>
    </w:p>
    <w:p>
      <w:pPr>
        <w:pBdr>
          <w:bottom w:val="single" w:color="0B1F3A" w:sz="12" w:space="4"/>
        </w:pBdr>
        <w:spacing w:after="240" w:before="480" w:line="300"/>
      </w:pPr>
      <w:r>
        <w:rPr>
          <w:rFonts w:ascii="Calibri" w:cs="Calibri" w:eastAsia="Calibri" w:hAnsi="Calibri"/>
          <w:b/>
          <w:bCs/>
          <w:color w:val="0B1F3A"/>
          <w:spacing w:val="4"/>
          <w:sz w:val="32"/>
          <w:szCs w:val="32"/>
        </w:rPr>
        <w:t xml:space="preserve">PART II — THE ACTIVE PIPELINE</w:t>
      </w:r>
    </w:p>
    <w:p>
      <w:pPr>
        <w:spacing w:after="160" w:line="300"/>
        <w:jc w:val="left"/>
      </w:pPr>
      <w:r>
        <w:rPr>
          <w:rFonts w:ascii="Calibri" w:cs="Calibri" w:eastAsia="Calibri" w:hAnsi="Calibri"/>
          <w:b w:val="false"/>
          <w:bCs w:val="false"/>
          <w:i w:val="false"/>
          <w:iCs w:val="false"/>
          <w:sz w:val="22"/>
          <w:szCs w:val="22"/>
        </w:rPr>
        <w:t xml:space="preserve">The speaker then turned from announced projects to the active pipeline of prospects currently being recruited.</w:t>
      </w:r>
    </w:p>
    <w:p>
      <w:pPr>
        <w:pBdr>
          <w:left w:val="single" w:color="B92C36" w:sz="24" w:space="12"/>
        </w:pBdr>
        <w:shd w:fill="F4F1EA" w:color="F4F1EA" w:val="solid"/>
        <w:spacing w:after="200" w:before="160" w:line="300"/>
        <w:ind w:left="240"/>
      </w:pPr>
      <w:r>
        <w:rPr>
          <w:rFonts w:ascii="Calibri" w:cs="Calibri" w:eastAsia="Calibri" w:hAnsi="Calibri"/>
          <w:b/>
          <w:bCs/>
          <w:color w:val="B92C36"/>
          <w:spacing w:val="4"/>
          <w:sz w:val="18"/>
          <w:szCs w:val="18"/>
        </w:rPr>
        <w:t xml:space="preserve">ACTIVE PIPELINE (CURRENT)  </w:t>
      </w:r>
      <w:r>
        <w:rPr>
          <w:rFonts w:ascii="Calibri" w:cs="Calibri" w:eastAsia="Calibri" w:hAnsi="Calibri"/>
          <w:b/>
          <w:bCs/>
          <w:color w:val="0B1F3A"/>
          <w:sz w:val="22"/>
          <w:szCs w:val="22"/>
        </w:rPr>
        <w:t xml:space="preserve">200+ active opportunities  |  ~$100 billion potential capital  |  38,000 – 57,000 potential jobs</w:t>
      </w:r>
    </w:p>
    <w:p>
      <w:pPr>
        <w:spacing w:after="160" w:line="300"/>
        <w:jc w:val="left"/>
      </w:pPr>
      <w:r>
        <w:rPr>
          <w:rFonts w:ascii="Calibri" w:cs="Calibri" w:eastAsia="Calibri" w:hAnsi="Calibri"/>
          <w:b w:val="false"/>
          <w:bCs w:val="false"/>
          <w:i w:val="false"/>
          <w:iCs w:val="false"/>
          <w:sz w:val="22"/>
          <w:szCs w:val="22"/>
        </w:rPr>
        <w:t xml:space="preserve">Key takeaways from the pipeline section:</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The potential capital investment currently in the pipeline exceeds everything Mississippi has announced over the previous six years combined.</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At the high end, the pipeline jobs are more than double the 25,500 already announced.</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Conservative conversion math: even at a 1-in-3 conversion rate, that translates to roughly $30 billion in additional capital investment and 15,000 additional jobs over the next 24 to 36 months.</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Two large prospects were lost in early 2026 and could not be named.</w:t>
      </w:r>
    </w:p>
    <w:p>
      <w:pPr>
        <w:spacing w:after="120" w:before="240" w:line="300"/>
      </w:pPr>
      <w:r>
        <w:rPr>
          <w:rFonts w:ascii="Calibri" w:cs="Calibri" w:eastAsia="Calibri" w:hAnsi="Calibri"/>
          <w:b/>
          <w:bCs/>
          <w:color w:val="B92C36"/>
          <w:sz w:val="24"/>
          <w:szCs w:val="24"/>
        </w:rPr>
        <w:t xml:space="preserve">Pipeline composition by sector</w:t>
      </w:r>
    </w:p>
    <w:p>
      <w:pPr>
        <w:pStyle w:val="ListParagraph"/>
        <w:numPr>
          <w:ilvl w:val="0"/>
          <w:numId w:val="1"/>
        </w:numPr>
        <w:spacing w:after="100" w:line="300"/>
      </w:pPr>
      <w:r>
        <w:rPr>
          <w:rFonts w:ascii="Calibri" w:cs="Calibri" w:eastAsia="Calibri" w:hAnsi="Calibri"/>
          <w:b/>
          <w:bCs/>
          <w:i w:val="false"/>
          <w:iCs w:val="false"/>
          <w:sz w:val="22"/>
          <w:szCs w:val="22"/>
        </w:rPr>
        <w:t xml:space="preserve">Advanced manufacturing — </w:t>
      </w:r>
      <w:r>
        <w:rPr>
          <w:rFonts w:ascii="Calibri" w:cs="Calibri" w:eastAsia="Calibri" w:hAnsi="Calibri"/>
          <w:b w:val="false"/>
          <w:bCs w:val="false"/>
          <w:i w:val="false"/>
          <w:iCs w:val="false"/>
          <w:sz w:val="22"/>
          <w:szCs w:val="22"/>
        </w:rPr>
        <w:t xml:space="preserve">automotive assembly, heavy industry, steel and metals, aluminum supply chain, batteries and energy storage, aerospace components, defense systems.</w:t>
      </w:r>
    </w:p>
    <w:p>
      <w:pPr>
        <w:pStyle w:val="ListParagraph"/>
        <w:numPr>
          <w:ilvl w:val="0"/>
          <w:numId w:val="1"/>
        </w:numPr>
        <w:spacing w:after="100" w:line="300"/>
      </w:pPr>
      <w:r>
        <w:rPr>
          <w:rFonts w:ascii="Calibri" w:cs="Calibri" w:eastAsia="Calibri" w:hAnsi="Calibri"/>
          <w:b/>
          <w:bCs/>
          <w:i w:val="false"/>
          <w:iCs w:val="false"/>
          <w:sz w:val="22"/>
          <w:szCs w:val="22"/>
        </w:rPr>
        <w:t xml:space="preserve">Energy — </w:t>
      </w:r>
      <w:r>
        <w:rPr>
          <w:rFonts w:ascii="Calibri" w:cs="Calibri" w:eastAsia="Calibri" w:hAnsi="Calibri"/>
          <w:b w:val="false"/>
          <w:bCs w:val="false"/>
          <w:i w:val="false"/>
          <w:iCs w:val="false"/>
          <w:sz w:val="22"/>
          <w:szCs w:val="22"/>
        </w:rPr>
        <w:t xml:space="preserve">power generation at scale, critical minerals processing, sustainable fuels, carbon capture and sequestration, nuclear lifecycle technology.</w:t>
      </w:r>
    </w:p>
    <w:p>
      <w:pPr>
        <w:pStyle w:val="ListParagraph"/>
        <w:numPr>
          <w:ilvl w:val="0"/>
          <w:numId w:val="1"/>
        </w:numPr>
        <w:spacing w:after="100" w:line="300"/>
      </w:pPr>
      <w:r>
        <w:rPr>
          <w:rFonts w:ascii="Calibri" w:cs="Calibri" w:eastAsia="Calibri" w:hAnsi="Calibri"/>
          <w:b/>
          <w:bCs/>
          <w:i w:val="false"/>
          <w:iCs w:val="false"/>
          <w:sz w:val="22"/>
          <w:szCs w:val="22"/>
        </w:rPr>
        <w:t xml:space="preserve">Data infrastructure — </w:t>
      </w:r>
      <w:r>
        <w:rPr>
          <w:rFonts w:ascii="Calibri" w:cs="Calibri" w:eastAsia="Calibri" w:hAnsi="Calibri"/>
          <w:b w:val="false"/>
          <w:bCs w:val="false"/>
          <w:i w:val="false"/>
          <w:iCs w:val="false"/>
          <w:sz w:val="22"/>
          <w:szCs w:val="22"/>
        </w:rPr>
        <w:t xml:space="preserve">hyperscale data centers, AI computing campuses, co-located power and computing facilities.</w:t>
      </w:r>
    </w:p>
    <w:p>
      <w:pPr>
        <w:pStyle w:val="ListParagraph"/>
        <w:numPr>
          <w:ilvl w:val="0"/>
          <w:numId w:val="1"/>
        </w:numPr>
        <w:spacing w:after="100" w:line="300"/>
      </w:pPr>
      <w:r>
        <w:rPr>
          <w:rFonts w:ascii="Calibri" w:cs="Calibri" w:eastAsia="Calibri" w:hAnsi="Calibri"/>
          <w:b/>
          <w:bCs/>
          <w:i w:val="false"/>
          <w:iCs w:val="false"/>
          <w:sz w:val="22"/>
          <w:szCs w:val="22"/>
        </w:rPr>
        <w:t xml:space="preserve">Food and forest products — </w:t>
      </w:r>
      <w:r>
        <w:rPr>
          <w:rFonts w:ascii="Calibri" w:cs="Calibri" w:eastAsia="Calibri" w:hAnsi="Calibri"/>
          <w:b w:val="false"/>
          <w:bCs w:val="false"/>
          <w:i w:val="false"/>
          <w:iCs w:val="false"/>
          <w:sz w:val="22"/>
          <w:szCs w:val="22"/>
        </w:rPr>
        <w:t xml:space="preserve">modern protein processing, specialty timber, wood-based bioproducts.</w:t>
      </w:r>
    </w:p>
    <w:p>
      <w:pPr>
        <w:pStyle w:val="ListParagraph"/>
        <w:numPr>
          <w:ilvl w:val="0"/>
          <w:numId w:val="1"/>
        </w:numPr>
        <w:spacing w:after="100" w:line="300"/>
      </w:pPr>
      <w:r>
        <w:rPr>
          <w:rFonts w:ascii="Calibri" w:cs="Calibri" w:eastAsia="Calibri" w:hAnsi="Calibri"/>
          <w:b/>
          <w:bCs/>
          <w:i w:val="false"/>
          <w:iCs w:val="false"/>
          <w:sz w:val="22"/>
          <w:szCs w:val="22"/>
        </w:rPr>
        <w:t xml:space="preserve">Shipbuilding and maritime — </w:t>
      </w:r>
      <w:r>
        <w:rPr>
          <w:rFonts w:ascii="Calibri" w:cs="Calibri" w:eastAsia="Calibri" w:hAnsi="Calibri"/>
          <w:b w:val="false"/>
          <w:bCs w:val="false"/>
          <w:i w:val="false"/>
          <w:iCs w:val="false"/>
          <w:sz w:val="22"/>
          <w:szCs w:val="22"/>
        </w:rPr>
        <w:t xml:space="preserve">particularly along the Mississippi Gulf Coast.</w:t>
      </w:r>
    </w:p>
    <w:p>
      <w:pPr>
        <w:pBdr>
          <w:left w:val="single" w:color="0B1F3A" w:sz="16" w:space="10"/>
        </w:pBdr>
        <w:spacing w:after="180" w:before="160" w:line="300"/>
        <w:ind w:left="320" w:right="320"/>
      </w:pPr>
      <w:r>
        <w:rPr>
          <w:rFonts w:ascii="Calibri" w:cs="Calibri" w:eastAsia="Calibri" w:hAnsi="Calibri"/>
          <w:i/>
          <w:iCs/>
          <w:color w:val="0B1F3A"/>
          <w:sz w:val="22"/>
          <w:szCs w:val="22"/>
        </w:rPr>
        <w:t xml:space="preserve">“If you have ever wondered whether the Career Coach Program is worth the state's investment, look at that pipeline. Look at what is coming. Then look at the calendar. We do not have time to wait.”</w:t>
      </w:r>
    </w:p>
    <w:p>
      <w:pPr>
        <w:spacing w:after="120" w:before="240" w:line="300"/>
      </w:pPr>
      <w:r>
        <w:rPr>
          <w:rFonts w:ascii="Calibri" w:cs="Calibri" w:eastAsia="Calibri" w:hAnsi="Calibri"/>
          <w:b/>
          <w:bCs/>
          <w:color w:val="B92C36"/>
          <w:sz w:val="24"/>
          <w:szCs w:val="24"/>
        </w:rPr>
        <w:t xml:space="preserve">Why this is urgent for coaches</w:t>
      </w:r>
    </w:p>
    <w:p>
      <w:pPr>
        <w:spacing w:after="160" w:line="300"/>
        <w:jc w:val="left"/>
      </w:pPr>
      <w:r>
        <w:rPr>
          <w:rFonts w:ascii="Calibri" w:cs="Calibri" w:eastAsia="Calibri" w:hAnsi="Calibri"/>
          <w:b w:val="false"/>
          <w:bCs w:val="false"/>
          <w:i w:val="false"/>
          <w:iCs w:val="false"/>
          <w:sz w:val="22"/>
          <w:szCs w:val="22"/>
        </w:rPr>
        <w:t xml:space="preserve">Most announced projects have not yet hired at scale. The buildings are still going up. The lines are still being installed. The first shifts have not been hired. Examples in the build-out phase right now:</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Amazon campuses in Madison, Hinds, and Warren Counties</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xAI — first shifts not hired</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Aluminum Dynamics — coming up to full operational tempo</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Amplify Cell — under construction</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Compass Datacenters (Meridian)</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AVAIO (Rankin County)</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Siemens Energy (central Mississippi)</w:t>
      </w:r>
    </w:p>
    <w:p>
      <w:pPr>
        <w:pBdr>
          <w:left w:val="single" w:color="0B1F3A" w:sz="16" w:space="10"/>
        </w:pBdr>
        <w:spacing w:after="180" w:before="160" w:line="300"/>
        <w:ind w:left="320" w:right="320"/>
      </w:pPr>
      <w:r>
        <w:rPr>
          <w:rFonts w:ascii="Calibri" w:cs="Calibri" w:eastAsia="Calibri" w:hAnsi="Calibri"/>
          <w:i/>
          <w:iCs/>
          <w:color w:val="0B1F3A"/>
          <w:sz w:val="22"/>
          <w:szCs w:val="22"/>
        </w:rPr>
        <w:t xml:space="preserve">“When those gates open, the question becomes whether the young person standing in line lives in Saltillo or in Schaumburg, Illinois. That is the question you answer every day.”</w:t>
      </w:r>
    </w:p>
    <w:p>
      <w:pPr>
        <w:pBdr>
          <w:bottom w:val="single" w:color="0B1F3A" w:sz="12" w:space="4"/>
        </w:pBdr>
        <w:spacing w:after="240" w:before="480" w:line="300"/>
      </w:pPr>
      <w:r>
        <w:rPr>
          <w:rFonts w:ascii="Calibri" w:cs="Calibri" w:eastAsia="Calibri" w:hAnsi="Calibri"/>
          <w:b/>
          <w:bCs/>
          <w:color w:val="0B1F3A"/>
          <w:spacing w:val="4"/>
          <w:sz w:val="32"/>
          <w:szCs w:val="32"/>
        </w:rPr>
        <w:t xml:space="preserve">PART III — THE PROMISE MDA HAS MADE TO INDUSTRY</w:t>
      </w:r>
    </w:p>
    <w:p>
      <w:pPr>
        <w:spacing w:after="160" w:line="300"/>
        <w:jc w:val="left"/>
      </w:pPr>
      <w:r>
        <w:rPr>
          <w:rFonts w:ascii="Calibri" w:cs="Calibri" w:eastAsia="Calibri" w:hAnsi="Calibri"/>
          <w:b w:val="false"/>
          <w:bCs w:val="false"/>
          <w:i w:val="false"/>
          <w:iCs w:val="false"/>
          <w:sz w:val="22"/>
          <w:szCs w:val="22"/>
        </w:rPr>
        <w:t xml:space="preserve">Speaker described the four-part workforce promise made to every CEO before signing:</w:t>
      </w:r>
    </w:p>
    <w:p>
      <w:pPr>
        <w:pStyle w:val="ListParagraph"/>
        <w:numPr>
          <w:ilvl w:val="0"/>
          <w:numId w:val="1"/>
        </w:numPr>
        <w:spacing w:after="100" w:line="300"/>
      </w:pPr>
      <w:r>
        <w:rPr>
          <w:rFonts w:ascii="Calibri" w:cs="Calibri" w:eastAsia="Calibri" w:hAnsi="Calibri"/>
          <w:b/>
          <w:bCs/>
          <w:i w:val="false"/>
          <w:iCs w:val="false"/>
          <w:color w:val="B92C36"/>
          <w:sz w:val="22"/>
          <w:szCs w:val="22"/>
        </w:rPr>
        <w:t xml:space="preserve">1.  </w:t>
      </w:r>
      <w:r>
        <w:rPr>
          <w:rFonts w:ascii="Calibri" w:cs="Calibri" w:eastAsia="Calibri" w:hAnsi="Calibri"/>
          <w:b/>
          <w:bCs/>
          <w:i w:val="false"/>
          <w:iCs w:val="false"/>
          <w:sz w:val="22"/>
          <w:szCs w:val="22"/>
        </w:rPr>
        <w:t xml:space="preserve">We will deliver the people.</w:t>
      </w:r>
    </w:p>
    <w:p>
      <w:pPr>
        <w:pStyle w:val="ListParagraph"/>
        <w:numPr>
          <w:ilvl w:val="0"/>
          <w:numId w:val="1"/>
        </w:numPr>
        <w:spacing w:after="100" w:line="300"/>
      </w:pPr>
      <w:r>
        <w:rPr>
          <w:rFonts w:ascii="Calibri" w:cs="Calibri" w:eastAsia="Calibri" w:hAnsi="Calibri"/>
          <w:b/>
          <w:bCs/>
          <w:i w:val="false"/>
          <w:iCs w:val="false"/>
          <w:color w:val="B92C36"/>
          <w:sz w:val="22"/>
          <w:szCs w:val="22"/>
        </w:rPr>
        <w:t xml:space="preserve">2.  </w:t>
      </w:r>
      <w:r>
        <w:rPr>
          <w:rFonts w:ascii="Calibri" w:cs="Calibri" w:eastAsia="Calibri" w:hAnsi="Calibri"/>
          <w:b/>
          <w:bCs/>
          <w:i w:val="false"/>
          <w:iCs w:val="false"/>
          <w:sz w:val="22"/>
          <w:szCs w:val="22"/>
        </w:rPr>
        <w:t xml:space="preserve">We will deliver them with the right skills.</w:t>
      </w:r>
    </w:p>
    <w:p>
      <w:pPr>
        <w:pStyle w:val="ListParagraph"/>
        <w:numPr>
          <w:ilvl w:val="0"/>
          <w:numId w:val="1"/>
        </w:numPr>
        <w:spacing w:after="100" w:line="300"/>
      </w:pPr>
      <w:r>
        <w:rPr>
          <w:rFonts w:ascii="Calibri" w:cs="Calibri" w:eastAsia="Calibri" w:hAnsi="Calibri"/>
          <w:b/>
          <w:bCs/>
          <w:i w:val="false"/>
          <w:iCs w:val="false"/>
          <w:color w:val="B92C36"/>
          <w:sz w:val="22"/>
          <w:szCs w:val="22"/>
        </w:rPr>
        <w:t xml:space="preserve">3.  </w:t>
      </w:r>
      <w:r>
        <w:rPr>
          <w:rFonts w:ascii="Calibri" w:cs="Calibri" w:eastAsia="Calibri" w:hAnsi="Calibri"/>
          <w:b/>
          <w:bCs/>
          <w:i w:val="false"/>
          <w:iCs w:val="false"/>
          <w:sz w:val="22"/>
          <w:szCs w:val="22"/>
        </w:rPr>
        <w:t xml:space="preserve">We will deliver them when the production line is ready, not two years later.</w:t>
      </w:r>
    </w:p>
    <w:p>
      <w:pPr>
        <w:pStyle w:val="ListParagraph"/>
        <w:numPr>
          <w:ilvl w:val="0"/>
          <w:numId w:val="1"/>
        </w:numPr>
        <w:spacing w:after="100" w:line="300"/>
      </w:pPr>
      <w:r>
        <w:rPr>
          <w:rFonts w:ascii="Calibri" w:cs="Calibri" w:eastAsia="Calibri" w:hAnsi="Calibri"/>
          <w:b/>
          <w:bCs/>
          <w:i w:val="false"/>
          <w:iCs w:val="false"/>
          <w:color w:val="B92C36"/>
          <w:sz w:val="22"/>
          <w:szCs w:val="22"/>
        </w:rPr>
        <w:t xml:space="preserve">4.  </w:t>
      </w:r>
      <w:r>
        <w:rPr>
          <w:rFonts w:ascii="Calibri" w:cs="Calibri" w:eastAsia="Calibri" w:hAnsi="Calibri"/>
          <w:b/>
          <w:bCs/>
          <w:i w:val="false"/>
          <w:iCs w:val="false"/>
          <w:sz w:val="22"/>
          <w:szCs w:val="22"/>
        </w:rPr>
        <w:t xml:space="preserve">We will deliver them at the wages these projects support, which are not low wages.</w:t>
      </w:r>
    </w:p>
    <w:p>
      <w:pPr>
        <w:pBdr>
          <w:left w:val="single" w:color="B8860B" w:sz="24" w:space="12"/>
        </w:pBdr>
        <w:shd w:fill="FFFCEC" w:color="FFFCEC" w:val="solid"/>
        <w:spacing w:after="200" w:before="200" w:line="300"/>
        <w:ind w:left="240"/>
      </w:pPr>
      <w:r>
        <w:rPr>
          <w:rFonts w:ascii="Calibri" w:cs="Calibri" w:eastAsia="Calibri" w:hAnsi="Calibri"/>
          <w:b/>
          <w:bCs/>
          <w:i/>
          <w:iCs/>
          <w:color w:val="B8860B"/>
          <w:sz w:val="20"/>
          <w:szCs w:val="20"/>
        </w:rPr>
        <w:t xml:space="preserve">Why this matters:  </w:t>
      </w:r>
      <w:r>
        <w:rPr>
          <w:rFonts w:ascii="Calibri" w:cs="Calibri" w:eastAsia="Calibri" w:hAnsi="Calibri"/>
          <w:i/>
          <w:iCs/>
          <w:color w:val="0B1F3A"/>
          <w:sz w:val="20"/>
          <w:szCs w:val="20"/>
        </w:rPr>
        <w:t xml:space="preserve">If MDA breaks this promise, it ends Mississippi's ability to recruit the next generation of investment. This is the partnership that career coaches sit at the center of.</w:t>
      </w:r>
    </w:p>
    <w:p>
      <w:pPr>
        <w:spacing w:after="180" w:before="360" w:line="300"/>
      </w:pPr>
      <w:r>
        <w:rPr>
          <w:rFonts w:ascii="Calibri" w:cs="Calibri" w:eastAsia="Calibri" w:hAnsi="Calibri"/>
          <w:b/>
          <w:bCs/>
          <w:color w:val="0B1F3A"/>
          <w:sz w:val="26"/>
          <w:szCs w:val="26"/>
        </w:rPr>
        <w:t xml:space="preserve">The four recruitment sectors and what they pay</w:t>
      </w:r>
    </w:p>
    <w:p>
      <w:pPr>
        <w:spacing w:after="120" w:before="240" w:line="300"/>
      </w:pPr>
      <w:r>
        <w:rPr>
          <w:rFonts w:ascii="Calibri" w:cs="Calibri" w:eastAsia="Calibri" w:hAnsi="Calibri"/>
          <w:b/>
          <w:bCs/>
          <w:color w:val="B92C36"/>
          <w:sz w:val="24"/>
          <w:szCs w:val="24"/>
        </w:rPr>
        <w:t xml:space="preserve">Sector 1 — Advanced Manufacturing</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Roles needed: rolling mill operators, electricians, quality technicians, battery cell manufacturing technicians, lab chemists, process engineers, CNC machinists, welders, robotics technicians, maintenance mechanics</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Employers: Aluminum Dynamics, Amplify Cell, Steel Dynamics, Yokohama, Continental, Nissan, and the broader automotive and metals supply chain</w:t>
      </w:r>
    </w:p>
    <w:p>
      <w:pPr>
        <w:pBdr>
          <w:left w:val="single" w:color="B92C36" w:sz="24" w:space="12"/>
        </w:pBdr>
        <w:shd w:fill="F4F1EA" w:color="F4F1EA" w:val="solid"/>
        <w:spacing w:after="200" w:before="160" w:line="300"/>
        <w:ind w:left="240"/>
      </w:pPr>
      <w:r>
        <w:rPr>
          <w:rFonts w:ascii="Calibri" w:cs="Calibri" w:eastAsia="Calibri" w:hAnsi="Calibri"/>
          <w:b/>
          <w:bCs/>
          <w:color w:val="B92C36"/>
          <w:spacing w:val="4"/>
          <w:sz w:val="18"/>
          <w:szCs w:val="18"/>
        </w:rPr>
        <w:t xml:space="preserve">WAGES  </w:t>
      </w:r>
      <w:r>
        <w:rPr>
          <w:rFonts w:ascii="Calibri" w:cs="Calibri" w:eastAsia="Calibri" w:hAnsi="Calibri"/>
          <w:b/>
          <w:bCs/>
          <w:color w:val="0B1F3A"/>
          <w:sz w:val="22"/>
          <w:szCs w:val="22"/>
        </w:rPr>
        <w:t xml:space="preserve">$55,000 – $95,000 per year. Most require a 2-year associate's degree or a 1-year industry credential. Almost none require a 4-year degree.</w:t>
      </w:r>
    </w:p>
    <w:p>
      <w:pPr>
        <w:spacing w:after="120" w:before="240" w:line="300"/>
      </w:pPr>
      <w:r>
        <w:rPr>
          <w:rFonts w:ascii="Calibri" w:cs="Calibri" w:eastAsia="Calibri" w:hAnsi="Calibri"/>
          <w:b/>
          <w:bCs/>
          <w:color w:val="B92C36"/>
          <w:sz w:val="24"/>
          <w:szCs w:val="24"/>
        </w:rPr>
        <w:t xml:space="preserve">Sector 2 — Trades and Construction</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Roles needed: ironworkers, electricians, pipefitters, sheet metal workers, equipment operators, concrete finishers</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Scale: the construction workforce alone for projects announced in the last two years exceeds 12,000 simultaneous craft positions</w:t>
      </w:r>
    </w:p>
    <w:p>
      <w:pPr>
        <w:pBdr>
          <w:left w:val="single" w:color="B92C36" w:sz="24" w:space="12"/>
        </w:pBdr>
        <w:shd w:fill="F4F1EA" w:color="F4F1EA" w:val="solid"/>
        <w:spacing w:after="200" w:before="160" w:line="300"/>
        <w:ind w:left="240"/>
      </w:pPr>
      <w:r>
        <w:rPr>
          <w:rFonts w:ascii="Calibri" w:cs="Calibri" w:eastAsia="Calibri" w:hAnsi="Calibri"/>
          <w:b/>
          <w:bCs/>
          <w:color w:val="B92C36"/>
          <w:spacing w:val="4"/>
          <w:sz w:val="18"/>
          <w:szCs w:val="18"/>
        </w:rPr>
        <w:t xml:space="preserve">WAGES  </w:t>
      </w:r>
      <w:r>
        <w:rPr>
          <w:rFonts w:ascii="Calibri" w:cs="Calibri" w:eastAsia="Calibri" w:hAnsi="Calibri"/>
          <w:b/>
          <w:bCs/>
          <w:color w:val="0B1F3A"/>
          <w:sz w:val="22"/>
          <w:szCs w:val="22"/>
        </w:rPr>
        <w:t xml:space="preserve">$50,000 – $110,000 per year, depending on certification. A high school graduate with an apprenticeship can earn a six-figure income by age 25.</w:t>
      </w:r>
    </w:p>
    <w:p>
      <w:pPr>
        <w:spacing w:after="120" w:before="240" w:line="300"/>
      </w:pPr>
      <w:r>
        <w:rPr>
          <w:rFonts w:ascii="Calibri" w:cs="Calibri" w:eastAsia="Calibri" w:hAnsi="Calibri"/>
          <w:b/>
          <w:bCs/>
          <w:color w:val="B92C36"/>
          <w:sz w:val="24"/>
          <w:szCs w:val="24"/>
        </w:rPr>
        <w:t xml:space="preserve">Sector 3 — Technology and Data</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Roles needed: fiber-optic technicians, network operators, mechanical and electrical maintenance, cybersecurity specialists</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Aligned training programs: Holmes Community College, Hinds Community College, Itawamba Community College</w:t>
      </w:r>
    </w:p>
    <w:p>
      <w:pPr>
        <w:pBdr>
          <w:left w:val="single" w:color="B92C36" w:sz="24" w:space="12"/>
        </w:pBdr>
        <w:shd w:fill="F4F1EA" w:color="F4F1EA" w:val="solid"/>
        <w:spacing w:after="200" w:before="160" w:line="300"/>
        <w:ind w:left="240"/>
      </w:pPr>
      <w:r>
        <w:rPr>
          <w:rFonts w:ascii="Calibri" w:cs="Calibri" w:eastAsia="Calibri" w:hAnsi="Calibri"/>
          <w:b/>
          <w:bCs/>
          <w:color w:val="B92C36"/>
          <w:spacing w:val="4"/>
          <w:sz w:val="18"/>
          <w:szCs w:val="18"/>
        </w:rPr>
        <w:t xml:space="preserve">WAGES  </w:t>
      </w:r>
      <w:r>
        <w:rPr>
          <w:rFonts w:ascii="Calibri" w:cs="Calibri" w:eastAsia="Calibri" w:hAnsi="Calibri"/>
          <w:b/>
          <w:bCs/>
          <w:color w:val="0B1F3A"/>
          <w:sz w:val="22"/>
          <w:szCs w:val="22"/>
        </w:rPr>
        <w:t xml:space="preserve">$50,000 – $85,000 starting, with rapid advancement.</w:t>
      </w:r>
    </w:p>
    <w:p>
      <w:pPr>
        <w:spacing w:after="120" w:before="240" w:line="300"/>
      </w:pPr>
      <w:r>
        <w:rPr>
          <w:rFonts w:ascii="Calibri" w:cs="Calibri" w:eastAsia="Calibri" w:hAnsi="Calibri"/>
          <w:b/>
          <w:bCs/>
          <w:color w:val="B92C36"/>
          <w:sz w:val="24"/>
          <w:szCs w:val="24"/>
        </w:rPr>
        <w:t xml:space="preserve">Sector 4 — Energy</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Roles needed: lineworkers, plant operators, power engineers, renewable energy technicians, critical minerals processing technicians</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Recent power generation announcements: Delta Blues power plant and Vicksburg Advanced Power Station ($3+ billion combined)</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Manufacturing growth at ABB, Howard Industries, and Siemens Energy in transformers, switchgear, and grid controls</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Mississippi positioned to lead in critical minerals processing because of lithium-from-brine work in the southern part of the state</w:t>
      </w:r>
    </w:p>
    <w:p>
      <w:pPr>
        <w:spacing w:after="180" w:before="360" w:line="300"/>
      </w:pPr>
      <w:r>
        <w:rPr>
          <w:rFonts w:ascii="Calibri" w:cs="Calibri" w:eastAsia="Calibri" w:hAnsi="Calibri"/>
          <w:b/>
          <w:bCs/>
          <w:color w:val="0B1F3A"/>
          <w:sz w:val="26"/>
          <w:szCs w:val="26"/>
        </w:rPr>
        <w:t xml:space="preserve">MFLEX and the state's commitment</w:t>
      </w:r>
    </w:p>
    <w:p>
      <w:pPr>
        <w:pBdr>
          <w:left w:val="single" w:color="B92C36" w:sz="24" w:space="12"/>
        </w:pBdr>
        <w:shd w:fill="F4F1EA" w:color="F4F1EA" w:val="solid"/>
        <w:spacing w:after="200" w:before="160" w:line="300"/>
        <w:ind w:left="240"/>
      </w:pPr>
      <w:r>
        <w:rPr>
          <w:rFonts w:ascii="Calibri" w:cs="Calibri" w:eastAsia="Calibri" w:hAnsi="Calibri"/>
          <w:b/>
          <w:bCs/>
          <w:color w:val="B92C36"/>
          <w:spacing w:val="4"/>
          <w:sz w:val="18"/>
          <w:szCs w:val="18"/>
        </w:rPr>
        <w:t xml:space="preserve">MFLEX PROGRAM  </w:t>
      </w:r>
      <w:r>
        <w:rPr>
          <w:rFonts w:ascii="Calibri" w:cs="Calibri" w:eastAsia="Calibri" w:hAnsi="Calibri"/>
          <w:b/>
          <w:bCs/>
          <w:color w:val="0B1F3A"/>
          <w:sz w:val="22"/>
          <w:szCs w:val="22"/>
        </w:rPr>
        <w:t xml:space="preserve">103 companies  |  $4.47B capital investment  |  8,420 jobs incentivized  |  $258M in credits committed</w:t>
      </w:r>
    </w:p>
    <w:p>
      <w:pPr>
        <w:spacing w:after="160" w:line="300"/>
        <w:jc w:val="left"/>
      </w:pPr>
      <w:r>
        <w:rPr>
          <w:rFonts w:ascii="Calibri" w:cs="Calibri" w:eastAsia="Calibri" w:hAnsi="Calibri"/>
          <w:b w:val="false"/>
          <w:bCs w:val="false"/>
          <w:i w:val="false"/>
          <w:iCs w:val="false"/>
          <w:sz w:val="22"/>
          <w:szCs w:val="22"/>
        </w:rPr>
        <w:t xml:space="preserve">Performance-based credits are clawed back if jobs are not delivered. Mississippi has financial skin in the game on every major project.</w:t>
      </w:r>
    </w:p>
    <w:p>
      <w:pPr>
        <w:pBdr>
          <w:left w:val="single" w:color="0B1F3A" w:sz="16" w:space="10"/>
        </w:pBdr>
        <w:spacing w:after="180" w:before="160" w:line="300"/>
        <w:ind w:left="320" w:right="320"/>
      </w:pPr>
      <w:r>
        <w:rPr>
          <w:rFonts w:ascii="Calibri" w:cs="Calibri" w:eastAsia="Calibri" w:hAnsi="Calibri"/>
          <w:i/>
          <w:iCs/>
          <w:color w:val="0B1F3A"/>
          <w:sz w:val="22"/>
          <w:szCs w:val="22"/>
        </w:rPr>
        <w:t xml:space="preserve">“I close the deal. You close the talent gap.”</w:t>
      </w:r>
    </w:p>
    <w:p>
      <w:pPr>
        <w:pBdr>
          <w:bottom w:val="single" w:color="0B1F3A" w:sz="12" w:space="4"/>
        </w:pBdr>
        <w:spacing w:after="240" w:before="480" w:line="300"/>
      </w:pPr>
      <w:r>
        <w:rPr>
          <w:rFonts w:ascii="Calibri" w:cs="Calibri" w:eastAsia="Calibri" w:hAnsi="Calibri"/>
          <w:b/>
          <w:bCs/>
          <w:color w:val="0B1F3A"/>
          <w:spacing w:val="4"/>
          <w:sz w:val="32"/>
          <w:szCs w:val="32"/>
        </w:rPr>
        <w:t xml:space="preserve">PART IV — MISSISSIPPI ON THE GLOBAL STAGE</w:t>
      </w:r>
    </w:p>
    <w:p>
      <w:pPr>
        <w:pBdr>
          <w:left w:val="single" w:color="B92C36" w:sz="24" w:space="12"/>
        </w:pBdr>
        <w:shd w:fill="F4F1EA" w:color="F4F1EA" w:val="solid"/>
        <w:spacing w:after="200" w:before="160" w:line="300"/>
        <w:ind w:left="240"/>
      </w:pPr>
      <w:r>
        <w:rPr>
          <w:rFonts w:ascii="Calibri" w:cs="Calibri" w:eastAsia="Calibri" w:hAnsi="Calibri"/>
          <w:b/>
          <w:bCs/>
          <w:color w:val="B92C36"/>
          <w:spacing w:val="4"/>
          <w:sz w:val="18"/>
          <w:szCs w:val="18"/>
        </w:rPr>
        <w:t xml:space="preserve">2025 EXPORTS  </w:t>
      </w:r>
      <w:r>
        <w:rPr>
          <w:rFonts w:ascii="Calibri" w:cs="Calibri" w:eastAsia="Calibri" w:hAnsi="Calibri"/>
          <w:b/>
          <w:bCs/>
          <w:color w:val="0B1F3A"/>
          <w:sz w:val="22"/>
          <w:szCs w:val="22"/>
        </w:rPr>
        <w:t xml:space="preserve">$14.22 billion in goods exported to 186 foreign markets</w:t>
      </w:r>
    </w:p>
    <w:p>
      <w:pPr>
        <w:spacing w:after="160" w:line="300"/>
        <w:jc w:val="left"/>
      </w:pPr>
      <w:r>
        <w:rPr>
          <w:rFonts w:ascii="Calibri" w:cs="Calibri" w:eastAsia="Calibri" w:hAnsi="Calibri"/>
          <w:b w:val="false"/>
          <w:bCs w:val="false"/>
          <w:i w:val="false"/>
          <w:iCs w:val="false"/>
          <w:sz w:val="22"/>
          <w:szCs w:val="22"/>
        </w:rPr>
        <w:t xml:space="preserve">The speaker noted Mississippi has trade relationships with more countries than the United Nations had member states at its founding.</w:t>
      </w:r>
    </w:p>
    <w:p>
      <w:pPr>
        <w:spacing w:after="120" w:before="240" w:line="300"/>
      </w:pPr>
      <w:r>
        <w:rPr>
          <w:rFonts w:ascii="Calibri" w:cs="Calibri" w:eastAsia="Calibri" w:hAnsi="Calibri"/>
          <w:b/>
          <w:bCs/>
          <w:color w:val="B92C36"/>
          <w:sz w:val="24"/>
          <w:szCs w:val="24"/>
        </w:rPr>
        <w:t xml:space="preserve">Top 10 trading partners (2025)</w:t>
      </w:r>
    </w:p>
    <w:p>
      <w:pPr>
        <w:spacing w:after="160" w:line="300"/>
        <w:jc w:val="left"/>
      </w:pPr>
      <w:r>
        <w:rPr>
          <w:rFonts w:ascii="Calibri" w:cs="Calibri" w:eastAsia="Calibri" w:hAnsi="Calibri"/>
          <w:b w:val="false"/>
          <w:bCs w:val="false"/>
          <w:i w:val="false"/>
          <w:iCs w:val="false"/>
          <w:sz w:val="22"/>
          <w:szCs w:val="22"/>
        </w:rPr>
        <w:t xml:space="preserve">Mexico, Panama, Canada, the Netherlands, Honduras, Guatemala, China, Belgium, Japan, Brazil</w:t>
      </w:r>
    </w:p>
    <w:p>
      <w:pPr>
        <w:spacing w:after="120" w:before="240" w:line="300"/>
      </w:pPr>
      <w:r>
        <w:rPr>
          <w:rFonts w:ascii="Calibri" w:cs="Calibri" w:eastAsia="Calibri" w:hAnsi="Calibri"/>
          <w:b/>
          <w:bCs/>
          <w:color w:val="B92C36"/>
          <w:sz w:val="24"/>
          <w:szCs w:val="24"/>
        </w:rPr>
        <w:t xml:space="preserve">Top exports</w:t>
      </w:r>
    </w:p>
    <w:p>
      <w:pPr>
        <w:spacing w:after="160" w:line="300"/>
        <w:jc w:val="left"/>
      </w:pPr>
      <w:r>
        <w:rPr>
          <w:rFonts w:ascii="Calibri" w:cs="Calibri" w:eastAsia="Calibri" w:hAnsi="Calibri"/>
          <w:b w:val="false"/>
          <w:bCs w:val="false"/>
          <w:i w:val="false"/>
          <w:iCs w:val="false"/>
          <w:sz w:val="22"/>
          <w:szCs w:val="22"/>
        </w:rPr>
        <w:t xml:space="preserve">Mineral fuels, machinery, optical and medical instruments, electrical equipment, cotton, paper products, vehicles, plastics, iron and steel</w:t>
      </w:r>
    </w:p>
    <w:p>
      <w:pPr>
        <w:spacing w:after="120" w:before="240" w:line="300"/>
      </w:pPr>
      <w:r>
        <w:rPr>
          <w:rFonts w:ascii="Calibri" w:cs="Calibri" w:eastAsia="Calibri" w:hAnsi="Calibri"/>
          <w:b/>
          <w:bCs/>
          <w:color w:val="B92C36"/>
          <w:sz w:val="24"/>
          <w:szCs w:val="24"/>
        </w:rPr>
        <w:t xml:space="preserve">MDA international presence</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International offices: Germany, India, Chile</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Representative offices across Asia, Europe, and Oceania</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Upcoming missions: Argentina, Berlin, London, Morocco, Australia (plus likely Japan and Korea before year's end)</w:t>
      </w:r>
    </w:p>
    <w:p>
      <w:pPr>
        <w:spacing w:after="120" w:before="240" w:line="300"/>
      </w:pPr>
      <w:r>
        <w:rPr>
          <w:rFonts w:ascii="Calibri" w:cs="Calibri" w:eastAsia="Calibri" w:hAnsi="Calibri"/>
          <w:b/>
          <w:bCs/>
          <w:color w:val="B92C36"/>
          <w:sz w:val="24"/>
          <w:szCs w:val="24"/>
        </w:rPr>
        <w:t xml:space="preserve">Examples coaches can use with students</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Welders at Ingalls in Pascagoula are building ships destined for ports in the Indo-Pacific.</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Technicians at Howard Industries in Laurel build transformers used in power grids on three continents.</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Engineers at General Atomics in Lee County build defense and unmanned systems deployed around the globe.</w:t>
      </w:r>
    </w:p>
    <w:p>
      <w:pPr>
        <w:pBdr>
          <w:left w:val="single" w:color="0B1F3A" w:sz="16" w:space="10"/>
        </w:pBdr>
        <w:spacing w:after="180" w:before="160" w:line="300"/>
        <w:ind w:left="320" w:right="320"/>
      </w:pPr>
      <w:r>
        <w:rPr>
          <w:rFonts w:ascii="Calibri" w:cs="Calibri" w:eastAsia="Calibri" w:hAnsi="Calibri"/>
          <w:i/>
          <w:iCs/>
          <w:color w:val="0B1F3A"/>
          <w:sz w:val="22"/>
          <w:szCs w:val="22"/>
        </w:rPr>
        <w:t xml:space="preserve">“Tell your students Mississippi ships to 186 countries. Then tell them why.”</w:t>
      </w:r>
    </w:p>
    <w:p>
      <w:pPr>
        <w:pBdr>
          <w:bottom w:val="single" w:color="0B1F3A" w:sz="12" w:space="4"/>
        </w:pBdr>
        <w:spacing w:after="240" w:before="480" w:line="300"/>
      </w:pPr>
      <w:r>
        <w:rPr>
          <w:rFonts w:ascii="Calibri" w:cs="Calibri" w:eastAsia="Calibri" w:hAnsi="Calibri"/>
          <w:b/>
          <w:bCs/>
          <w:color w:val="0B1F3A"/>
          <w:spacing w:val="4"/>
          <w:sz w:val="32"/>
          <w:szCs w:val="32"/>
        </w:rPr>
        <w:t xml:space="preserve">PART V — WHY THE WORK HAS TO START EARLIER</w:t>
      </w:r>
    </w:p>
    <w:p>
      <w:pPr>
        <w:spacing w:after="180" w:before="360" w:line="300"/>
      </w:pPr>
      <w:r>
        <w:rPr>
          <w:rFonts w:ascii="Calibri" w:cs="Calibri" w:eastAsia="Calibri" w:hAnsi="Calibri"/>
          <w:b/>
          <w:bCs/>
          <w:color w:val="0B1F3A"/>
          <w:sz w:val="26"/>
          <w:szCs w:val="26"/>
        </w:rPr>
        <w:t xml:space="preserve">Acknowledging what AccelerateMS has built</w:t>
      </w:r>
    </w:p>
    <w:p>
      <w:pPr>
        <w:pBdr>
          <w:left w:val="single" w:color="B92C36" w:sz="24" w:space="12"/>
        </w:pBdr>
        <w:shd w:fill="F4F1EA" w:color="F4F1EA" w:val="solid"/>
        <w:spacing w:after="200" w:before="160" w:line="300"/>
        <w:ind w:left="240"/>
      </w:pPr>
      <w:r>
        <w:rPr>
          <w:rFonts w:ascii="Calibri" w:cs="Calibri" w:eastAsia="Calibri" w:hAnsi="Calibri"/>
          <w:b/>
          <w:bCs/>
          <w:color w:val="B92C36"/>
          <w:spacing w:val="4"/>
          <w:sz w:val="18"/>
          <w:szCs w:val="18"/>
        </w:rPr>
        <w:t xml:space="preserve">CAREER COACH PROGRAM REACH  </w:t>
      </w:r>
      <w:r>
        <w:rPr>
          <w:rFonts w:ascii="Calibri" w:cs="Calibri" w:eastAsia="Calibri" w:hAnsi="Calibri"/>
          <w:b/>
          <w:bCs/>
          <w:color w:val="0B1F3A"/>
          <w:sz w:val="22"/>
          <w:szCs w:val="22"/>
        </w:rPr>
        <w:t xml:space="preserve">207 coaches  |  203 high schools  |  96% of districts  |  134 coaches in their 3rd+ year</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From roughly 20 coaches in 2022 to 207 today — a tenfold scale-up in three years</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Documented increase in FAFSA completion across the state, attributed in significant part to coach work</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Tens of thousands of one-on-one career conversations, thousands of parent meetings, college and job applications, guest speakers, field trips</w:t>
      </w:r>
    </w:p>
    <w:p>
      <w:pPr>
        <w:pBdr>
          <w:left w:val="single" w:color="0B1F3A" w:sz="16" w:space="10"/>
        </w:pBdr>
        <w:spacing w:after="180" w:before="160" w:line="300"/>
        <w:ind w:left="320" w:right="320"/>
      </w:pPr>
      <w:r>
        <w:rPr>
          <w:rFonts w:ascii="Calibri" w:cs="Calibri" w:eastAsia="Calibri" w:hAnsi="Calibri"/>
          <w:i/>
          <w:iCs/>
          <w:color w:val="0B1F3A"/>
          <w:sz w:val="22"/>
          <w:szCs w:val="22"/>
        </w:rPr>
        <w:t xml:space="preserve">“Mississippi is crushing it.”</w:t>
      </w:r>
    </w:p>
    <w:p>
      <w:pPr>
        <w:spacing w:after="180" w:before="360" w:line="300"/>
      </w:pPr>
      <w:r>
        <w:rPr>
          <w:rFonts w:ascii="Calibri" w:cs="Calibri" w:eastAsia="Calibri" w:hAnsi="Calibri"/>
          <w:b/>
          <w:bCs/>
          <w:color w:val="0B1F3A"/>
          <w:sz w:val="26"/>
          <w:szCs w:val="26"/>
        </w:rPr>
        <w:t xml:space="preserve">The pivot — and it is not enough</w:t>
      </w:r>
    </w:p>
    <w:p>
      <w:pPr>
        <w:spacing w:after="160" w:line="300"/>
        <w:jc w:val="left"/>
      </w:pPr>
      <w:r>
        <w:rPr>
          <w:rFonts w:ascii="Calibri" w:cs="Calibri" w:eastAsia="Calibri" w:hAnsi="Calibri"/>
          <w:b w:val="false"/>
          <w:bCs w:val="false"/>
          <w:i w:val="false"/>
          <w:iCs w:val="false"/>
          <w:sz w:val="22"/>
          <w:szCs w:val="22"/>
        </w:rPr>
        <w:t xml:space="preserve">The speaker then pivoted to argue that the program's current scope, focused largely on high school seniors, is not enough. The argument rests on the cognitive science of how children form career aspirations.</w:t>
      </w:r>
    </w:p>
    <w:p>
      <w:pPr>
        <w:spacing w:after="180" w:before="360" w:line="300"/>
      </w:pPr>
      <w:r>
        <w:rPr>
          <w:rFonts w:ascii="Calibri" w:cs="Calibri" w:eastAsia="Calibri" w:hAnsi="Calibri"/>
          <w:b/>
          <w:bCs/>
          <w:color w:val="0B1F3A"/>
          <w:sz w:val="26"/>
          <w:szCs w:val="26"/>
        </w:rPr>
        <w:t xml:space="preserve">Gottfredson's Theory of Circumscription and Compromise</w:t>
      </w:r>
    </w:p>
    <w:p>
      <w:pPr>
        <w:spacing w:after="160" w:line="300"/>
        <w:jc w:val="left"/>
      </w:pPr>
      <w:r>
        <w:rPr>
          <w:rFonts w:ascii="Calibri" w:cs="Calibri" w:eastAsia="Calibri" w:hAnsi="Calibri"/>
          <w:b w:val="false"/>
          <w:bCs w:val="false"/>
          <w:i w:val="false"/>
          <w:iCs w:val="false"/>
          <w:sz w:val="22"/>
          <w:szCs w:val="22"/>
        </w:rPr>
        <w:t xml:space="preserve">Linda Gottfredson is a researcher at the University of Delaware who published the dominant framework in vocational psychology in 1981, refined through 2002. It is taught in virtually every counseling program in the country.</w:t>
      </w:r>
    </w:p>
    <w:p>
      <w:pPr>
        <w:spacing w:after="120" w:before="240" w:line="300"/>
      </w:pPr>
      <w:r>
        <w:rPr>
          <w:rFonts w:ascii="Calibri" w:cs="Calibri" w:eastAsia="Calibri" w:hAnsi="Calibri"/>
          <w:b/>
          <w:bCs/>
          <w:color w:val="B92C36"/>
          <w:sz w:val="24"/>
          <w:szCs w:val="24"/>
        </w:rPr>
        <w:t xml:space="preserve">The core claim</w:t>
      </w:r>
    </w:p>
    <w:p>
      <w:pPr>
        <w:spacing w:after="160" w:line="300"/>
        <w:jc w:val="left"/>
      </w:pPr>
      <w:r>
        <w:rPr>
          <w:rFonts w:ascii="Calibri" w:cs="Calibri" w:eastAsia="Calibri" w:hAnsi="Calibri"/>
          <w:b w:val="false"/>
          <w:bCs w:val="false"/>
          <w:i w:val="false"/>
          <w:iCs w:val="false"/>
          <w:sz w:val="22"/>
          <w:szCs w:val="22"/>
        </w:rPr>
        <w:t xml:space="preserve">Children eliminate career options in developmental stages, long before they understand what those careers pay or require.</w:t>
      </w:r>
    </w:p>
    <w:p>
      <w:pPr>
        <w:spacing w:after="120" w:before="240" w:line="300"/>
      </w:pPr>
      <w:r>
        <w:rPr>
          <w:rFonts w:ascii="Calibri" w:cs="Calibri" w:eastAsia="Calibri" w:hAnsi="Calibri"/>
          <w:b/>
          <w:bCs/>
          <w:color w:val="B92C36"/>
          <w:sz w:val="24"/>
          <w:szCs w:val="24"/>
        </w:rPr>
        <w:t xml:space="preserve">The four stages of circumscription</w:t>
      </w:r>
    </w:p>
    <w:p>
      <w:pPr>
        <w:pStyle w:val="ListParagraph"/>
        <w:numPr>
          <w:ilvl w:val="0"/>
          <w:numId w:val="1"/>
        </w:numPr>
        <w:spacing w:after="100" w:line="300"/>
      </w:pPr>
      <w:r>
        <w:rPr>
          <w:rFonts w:ascii="Calibri" w:cs="Calibri" w:eastAsia="Calibri" w:hAnsi="Calibri"/>
          <w:b/>
          <w:bCs/>
          <w:i w:val="false"/>
          <w:iCs w:val="false"/>
          <w:sz w:val="22"/>
          <w:szCs w:val="22"/>
        </w:rPr>
        <w:t xml:space="preserve">Stage 1, ages 3 – 5 — Size and power. </w:t>
      </w:r>
      <w:r>
        <w:rPr>
          <w:rFonts w:ascii="Calibri" w:cs="Calibri" w:eastAsia="Calibri" w:hAnsi="Calibri"/>
          <w:b w:val="false"/>
          <w:bCs w:val="false"/>
          <w:i w:val="false"/>
          <w:iCs w:val="false"/>
          <w:sz w:val="22"/>
          <w:szCs w:val="22"/>
        </w:rPr>
        <w:t xml:space="preserve">Children categorize people by size and power. Adults work, kids do not.</w:t>
      </w:r>
    </w:p>
    <w:p>
      <w:pPr>
        <w:pStyle w:val="ListParagraph"/>
        <w:numPr>
          <w:ilvl w:val="0"/>
          <w:numId w:val="1"/>
        </w:numPr>
        <w:spacing w:after="100" w:line="300"/>
      </w:pPr>
      <w:r>
        <w:rPr>
          <w:rFonts w:ascii="Calibri" w:cs="Calibri" w:eastAsia="Calibri" w:hAnsi="Calibri"/>
          <w:b/>
          <w:bCs/>
          <w:i w:val="false"/>
          <w:iCs w:val="false"/>
          <w:sz w:val="22"/>
          <w:szCs w:val="22"/>
        </w:rPr>
        <w:t xml:space="preserve">Stage 2, ages 6 – 8 — Gender. </w:t>
      </w:r>
      <w:r>
        <w:rPr>
          <w:rFonts w:ascii="Calibri" w:cs="Calibri" w:eastAsia="Calibri" w:hAnsi="Calibri"/>
          <w:b w:val="false"/>
          <w:bCs w:val="false"/>
          <w:i w:val="false"/>
          <w:iCs w:val="false"/>
          <w:sz w:val="22"/>
          <w:szCs w:val="22"/>
        </w:rPr>
        <w:t xml:space="preserve">Children begin ruling out careers based on perceived gender. “Boys do this. Girls do that.”</w:t>
      </w:r>
    </w:p>
    <w:p>
      <w:pPr>
        <w:pStyle w:val="ListParagraph"/>
        <w:numPr>
          <w:ilvl w:val="0"/>
          <w:numId w:val="1"/>
        </w:numPr>
        <w:spacing w:after="100" w:line="300"/>
      </w:pPr>
      <w:r>
        <w:rPr>
          <w:rFonts w:ascii="Calibri" w:cs="Calibri" w:eastAsia="Calibri" w:hAnsi="Calibri"/>
          <w:b/>
          <w:bCs/>
          <w:i w:val="false"/>
          <w:iCs w:val="false"/>
          <w:sz w:val="22"/>
          <w:szCs w:val="22"/>
        </w:rPr>
        <w:t xml:space="preserve">Stage 3, ages 9 – 13 — Prestige and social class. </w:t>
      </w:r>
      <w:r>
        <w:rPr>
          <w:rFonts w:ascii="Calibri" w:cs="Calibri" w:eastAsia="Calibri" w:hAnsi="Calibri"/>
          <w:b w:val="false"/>
          <w:bCs w:val="false"/>
          <w:i w:val="false"/>
          <w:iCs w:val="false"/>
          <w:sz w:val="22"/>
          <w:szCs w:val="22"/>
        </w:rPr>
        <w:t xml:space="preserve">Children begin ruling out careers based on perceived prestige and social class. “People like me do this. People like me do not do that.”</w:t>
      </w:r>
    </w:p>
    <w:p>
      <w:pPr>
        <w:pStyle w:val="ListParagraph"/>
        <w:numPr>
          <w:ilvl w:val="0"/>
          <w:numId w:val="1"/>
        </w:numPr>
        <w:spacing w:after="100" w:line="300"/>
      </w:pPr>
      <w:r>
        <w:rPr>
          <w:rFonts w:ascii="Calibri" w:cs="Calibri" w:eastAsia="Calibri" w:hAnsi="Calibri"/>
          <w:b/>
          <w:bCs/>
          <w:i w:val="false"/>
          <w:iCs w:val="false"/>
          <w:sz w:val="22"/>
          <w:szCs w:val="22"/>
        </w:rPr>
        <w:t xml:space="preserve">Stage 4, ages 14+ — Personal interest. </w:t>
      </w:r>
      <w:r>
        <w:rPr>
          <w:rFonts w:ascii="Calibri" w:cs="Calibri" w:eastAsia="Calibri" w:hAnsi="Calibri"/>
          <w:b w:val="false"/>
          <w:bCs w:val="false"/>
          <w:i w:val="false"/>
          <w:iCs w:val="false"/>
          <w:sz w:val="22"/>
          <w:szCs w:val="22"/>
        </w:rPr>
        <w:t xml:space="preserve">Only after the menu has already been cut do children begin matching the remaining options to their personal interests.</w:t>
      </w:r>
    </w:p>
    <w:p>
      <w:pPr>
        <w:pBdr>
          <w:left w:val="single" w:color="B8860B" w:sz="24" w:space="12"/>
        </w:pBdr>
        <w:shd w:fill="FFFCEC" w:color="FFFCEC" w:val="solid"/>
        <w:spacing w:after="200" w:before="200" w:line="300"/>
        <w:ind w:left="240"/>
      </w:pPr>
      <w:r>
        <w:rPr>
          <w:rFonts w:ascii="Calibri" w:cs="Calibri" w:eastAsia="Calibri" w:hAnsi="Calibri"/>
          <w:b/>
          <w:bCs/>
          <w:i/>
          <w:iCs/>
          <w:color w:val="B8860B"/>
          <w:sz w:val="20"/>
          <w:szCs w:val="20"/>
        </w:rPr>
        <w:t xml:space="preserve">Why this matters:  </w:t>
      </w:r>
      <w:r>
        <w:rPr>
          <w:rFonts w:ascii="Calibri" w:cs="Calibri" w:eastAsia="Calibri" w:hAnsi="Calibri"/>
          <w:i/>
          <w:iCs/>
          <w:color w:val="0B1F3A"/>
          <w:sz w:val="20"/>
          <w:szCs w:val="20"/>
        </w:rPr>
        <w:t xml:space="preserve">By the time a child is 14, the menu of careers under consideration has already been narrowed — often dramatically, often wrongly, and almost always before that child has ever met an adult who actually does the work.</w:t>
      </w:r>
    </w:p>
    <w:p>
      <w:pPr>
        <w:pBdr>
          <w:left w:val="single" w:color="0B1F3A" w:sz="16" w:space="10"/>
        </w:pBdr>
        <w:spacing w:after="180" w:before="160" w:line="300"/>
        <w:ind w:left="320" w:right="320"/>
      </w:pPr>
      <w:r>
        <w:rPr>
          <w:rFonts w:ascii="Calibri" w:cs="Calibri" w:eastAsia="Calibri" w:hAnsi="Calibri"/>
          <w:i/>
          <w:iCs/>
          <w:color w:val="0B1F3A"/>
          <w:sz w:val="22"/>
          <w:szCs w:val="22"/>
        </w:rPr>
        <w:t xml:space="preserve">“A coach who first meets a student in 11th grade is meeting a student whose map of “jobs for people like me” was drawn in fifth and sixth grade.”</w:t>
      </w:r>
    </w:p>
    <w:p>
      <w:pPr>
        <w:spacing w:after="180" w:before="360" w:line="300"/>
      </w:pPr>
      <w:r>
        <w:rPr>
          <w:rFonts w:ascii="Calibri" w:cs="Calibri" w:eastAsia="Calibri" w:hAnsi="Calibri"/>
          <w:b/>
          <w:bCs/>
          <w:color w:val="0B1F3A"/>
          <w:sz w:val="26"/>
          <w:szCs w:val="26"/>
        </w:rPr>
        <w:t xml:space="preserve">Composite illustration — a 12-year-old girl in Coahoma County</w:t>
      </w:r>
    </w:p>
    <w:p>
      <w:pPr>
        <w:spacing w:after="160" w:line="300"/>
        <w:jc w:val="left"/>
      </w:pPr>
      <w:r>
        <w:rPr>
          <w:rFonts w:ascii="Calibri" w:cs="Calibri" w:eastAsia="Calibri" w:hAnsi="Calibri"/>
          <w:b w:val="false"/>
          <w:bCs w:val="false"/>
          <w:i w:val="false"/>
          <w:iCs w:val="false"/>
          <w:sz w:val="22"/>
          <w:szCs w:val="22"/>
        </w:rPr>
        <w:t xml:space="preserve">The speaker offered a composite student vignette to make Gottfredson concrete:</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Her mother works two jobs. Her grandfather worked for the railroad.</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The men in her family work outside. The women take care of children.</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She has never met a woman who runs a CNC machine, works at a data center, or designs aircraft components.</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She has never been inside a battery plant, an aluminum rolling mill, or a power plant.</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By age 12, applying Gottfredson's framework, she has likely already eliminated advanced manufacturing, the skilled trades, and engineering.</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Not because she could not do those jobs. Because nothing in her environment has told her those jobs are for people like her.</w:t>
      </w:r>
    </w:p>
    <w:p>
      <w:pPr>
        <w:pBdr>
          <w:left w:val="single" w:color="B8860B" w:sz="24" w:space="12"/>
        </w:pBdr>
        <w:shd w:fill="FFFCEC" w:color="FFFCEC" w:val="solid"/>
        <w:spacing w:after="200" w:before="200" w:line="300"/>
        <w:ind w:left="240"/>
      </w:pPr>
      <w:r>
        <w:rPr>
          <w:rFonts w:ascii="Calibri" w:cs="Calibri" w:eastAsia="Calibri" w:hAnsi="Calibri"/>
          <w:b/>
          <w:bCs/>
          <w:i/>
          <w:iCs/>
          <w:color w:val="B8860B"/>
          <w:sz w:val="20"/>
          <w:szCs w:val="20"/>
        </w:rPr>
        <w:t xml:space="preserve">Why this matters:  </w:t>
      </w:r>
      <w:r>
        <w:rPr>
          <w:rFonts w:ascii="Calibri" w:cs="Calibri" w:eastAsia="Calibri" w:hAnsi="Calibri"/>
          <w:i/>
          <w:iCs/>
          <w:color w:val="0B1F3A"/>
          <w:sz w:val="20"/>
          <w:szCs w:val="20"/>
        </w:rPr>
        <w:t xml:space="preserve">By the time a coach meets her in 11th grade, the coach is not introducing a new option. The coach is trying to undo a decision the student made in the fifth grade.</w:t>
      </w:r>
    </w:p>
    <w:p>
      <w:pPr>
        <w:spacing w:after="180" w:before="360" w:line="300"/>
      </w:pPr>
      <w:r>
        <w:rPr>
          <w:rFonts w:ascii="Calibri" w:cs="Calibri" w:eastAsia="Calibri" w:hAnsi="Calibri"/>
          <w:b/>
          <w:bCs/>
          <w:color w:val="0B1F3A"/>
          <w:sz w:val="26"/>
          <w:szCs w:val="26"/>
        </w:rPr>
        <w:t xml:space="preserve">Supporting research findings</w:t>
      </w:r>
    </w:p>
    <w:p>
      <w:pPr>
        <w:pBdr>
          <w:left w:val="single" w:color="B92C36" w:sz="24" w:space="12"/>
        </w:pBdr>
        <w:shd w:fill="F4F1EA" w:color="F4F1EA" w:val="solid"/>
        <w:spacing w:after="200" w:before="160" w:line="300"/>
        <w:ind w:left="240"/>
      </w:pPr>
      <w:r>
        <w:rPr>
          <w:rFonts w:ascii="Calibri" w:cs="Calibri" w:eastAsia="Calibri" w:hAnsi="Calibri"/>
          <w:b/>
          <w:bCs/>
          <w:color w:val="B92C36"/>
          <w:spacing w:val="4"/>
          <w:sz w:val="18"/>
          <w:szCs w:val="18"/>
        </w:rPr>
        <w:t xml:space="preserve">43%  </w:t>
      </w:r>
      <w:r>
        <w:rPr>
          <w:rFonts w:ascii="Calibri" w:cs="Calibri" w:eastAsia="Calibri" w:hAnsi="Calibri"/>
          <w:b/>
          <w:bCs/>
          <w:color w:val="0B1F3A"/>
          <w:sz w:val="22"/>
          <w:szCs w:val="22"/>
        </w:rPr>
        <w:t xml:space="preserve">of low-income middle schoolers have aligned educational and career ambitions (NIH, 2022)</w:t>
      </w:r>
    </w:p>
    <w:p>
      <w:pPr>
        <w:spacing w:after="160" w:line="300"/>
        <w:jc w:val="left"/>
      </w:pPr>
      <w:r>
        <w:rPr>
          <w:rFonts w:ascii="Calibri" w:cs="Calibri" w:eastAsia="Calibri" w:hAnsi="Calibri"/>
          <w:b w:val="false"/>
          <w:bCs w:val="false"/>
          <w:i w:val="false"/>
          <w:iCs w:val="false"/>
          <w:sz w:val="22"/>
          <w:szCs w:val="22"/>
        </w:rPr>
        <w:t xml:space="preserve">First-generation students and students on free and reduced lunch — which describes the majority of Mississippi children — are significantly more likely to be misaligned (aspiring to careers requiring more or less education than they plan to pursue).</w:t>
      </w:r>
    </w:p>
    <w:p>
      <w:pPr>
        <w:pBdr>
          <w:left w:val="single" w:color="B92C36" w:sz="24" w:space="12"/>
        </w:pBdr>
        <w:shd w:fill="F4F1EA" w:color="F4F1EA" w:val="solid"/>
        <w:spacing w:after="200" w:before="160" w:line="300"/>
        <w:ind w:left="240"/>
      </w:pPr>
      <w:r>
        <w:rPr>
          <w:rFonts w:ascii="Calibri" w:cs="Calibri" w:eastAsia="Calibri" w:hAnsi="Calibri"/>
          <w:b/>
          <w:bCs/>
          <w:color w:val="B92C36"/>
          <w:spacing w:val="4"/>
          <w:sz w:val="18"/>
          <w:szCs w:val="18"/>
        </w:rPr>
        <w:t xml:space="preserve">75%  </w:t>
      </w:r>
      <w:r>
        <w:rPr>
          <w:rFonts w:ascii="Calibri" w:cs="Calibri" w:eastAsia="Calibri" w:hAnsi="Calibri"/>
          <w:b/>
          <w:bCs/>
          <w:color w:val="0B1F3A"/>
          <w:sz w:val="22"/>
          <w:szCs w:val="22"/>
        </w:rPr>
        <w:t xml:space="preserve">of Americans say no counselor, teacher, or mentor ever suggested trade or vocational school as a viable career (Leading2Lean, 2019)</w:t>
      </w:r>
    </w:p>
    <w:p>
      <w:pPr>
        <w:spacing w:after="160" w:line="300"/>
        <w:jc w:val="left"/>
      </w:pPr>
      <w:r>
        <w:rPr>
          <w:rFonts w:ascii="Calibri" w:cs="Calibri" w:eastAsia="Calibri" w:hAnsi="Calibri"/>
          <w:b w:val="false"/>
          <w:bCs w:val="false"/>
          <w:i w:val="false"/>
          <w:iCs w:val="false"/>
          <w:sz w:val="22"/>
          <w:szCs w:val="22"/>
        </w:rPr>
        <w:t xml:space="preserve">A separate survey found 68% of 18-to-24-year-olds said trade schools were never discussed with them by their guidance counselor.</w:t>
      </w:r>
    </w:p>
    <w:p>
      <w:pPr>
        <w:pBdr>
          <w:left w:val="single" w:color="B92C36" w:sz="24" w:space="12"/>
        </w:pBdr>
        <w:shd w:fill="F4F1EA" w:color="F4F1EA" w:val="solid"/>
        <w:spacing w:after="200" w:before="160" w:line="300"/>
        <w:ind w:left="240"/>
      </w:pPr>
      <w:r>
        <w:rPr>
          <w:rFonts w:ascii="Calibri" w:cs="Calibri" w:eastAsia="Calibri" w:hAnsi="Calibri"/>
          <w:b/>
          <w:bCs/>
          <w:color w:val="B92C36"/>
          <w:spacing w:val="4"/>
          <w:sz w:val="18"/>
          <w:szCs w:val="18"/>
        </w:rPr>
        <w:t xml:space="preserve">79%  </w:t>
      </w:r>
      <w:r>
        <w:rPr>
          <w:rFonts w:ascii="Calibri" w:cs="Calibri" w:eastAsia="Calibri" w:hAnsi="Calibri"/>
          <w:b/>
          <w:bCs/>
          <w:color w:val="0B1F3A"/>
          <w:sz w:val="22"/>
          <w:szCs w:val="22"/>
        </w:rPr>
        <w:t xml:space="preserve">of Gen Z said their parents wanted them in college. Only 5% were encouraged toward the trades (Jobber, 2023)</w:t>
      </w:r>
    </w:p>
    <w:p>
      <w:pPr>
        <w:pBdr>
          <w:left w:val="single" w:color="B92C36" w:sz="24" w:space="12"/>
        </w:pBdr>
        <w:shd w:fill="F4F1EA" w:color="F4F1EA" w:val="solid"/>
        <w:spacing w:after="200" w:before="160" w:line="300"/>
        <w:ind w:left="240"/>
      </w:pPr>
      <w:r>
        <w:rPr>
          <w:rFonts w:ascii="Calibri" w:cs="Calibri" w:eastAsia="Calibri" w:hAnsi="Calibri"/>
          <w:b/>
          <w:bCs/>
          <w:color w:val="B92C36"/>
          <w:spacing w:val="4"/>
          <w:sz w:val="18"/>
          <w:szCs w:val="18"/>
        </w:rPr>
        <w:t xml:space="preserve">2 ×  </w:t>
      </w:r>
      <w:r>
        <w:rPr>
          <w:rFonts w:ascii="Calibri" w:cs="Calibri" w:eastAsia="Calibri" w:hAnsi="Calibri"/>
          <w:b/>
          <w:bCs/>
          <w:color w:val="0B1F3A"/>
          <w:sz w:val="22"/>
          <w:szCs w:val="22"/>
        </w:rPr>
        <w:t xml:space="preserve">as many manufacturing, mining, and skilled trades workers are aged 35–44 as those aged 16–24 (U.S. BLS)</w:t>
      </w:r>
    </w:p>
    <w:p>
      <w:pPr>
        <w:spacing w:after="160" w:line="300"/>
        <w:jc w:val="left"/>
      </w:pPr>
      <w:r>
        <w:rPr>
          <w:rFonts w:ascii="Calibri" w:cs="Calibri" w:eastAsia="Calibri" w:hAnsi="Calibri"/>
          <w:b w:val="false"/>
          <w:bCs w:val="false"/>
          <w:i w:val="false"/>
          <w:iCs w:val="false"/>
          <w:sz w:val="22"/>
          <w:szCs w:val="22"/>
        </w:rPr>
        <w:t xml:space="preserve">The pipeline is inverted. The workforce is aging out faster than it is being replaced.</w:t>
      </w:r>
    </w:p>
    <w:p>
      <w:pPr>
        <w:spacing w:after="180" w:before="360" w:line="300"/>
      </w:pPr>
      <w:r>
        <w:rPr>
          <w:rFonts w:ascii="Calibri" w:cs="Calibri" w:eastAsia="Calibri" w:hAnsi="Calibri"/>
          <w:b/>
          <w:bCs/>
          <w:color w:val="0B1F3A"/>
          <w:sz w:val="26"/>
          <w:szCs w:val="26"/>
        </w:rPr>
        <w:t xml:space="preserve">The ask — migrate the model into earlier grades</w:t>
      </w:r>
    </w:p>
    <w:p>
      <w:pPr>
        <w:spacing w:after="160" w:line="300"/>
        <w:jc w:val="left"/>
      </w:pPr>
      <w:r>
        <w:rPr>
          <w:rFonts w:ascii="Calibri" w:cs="Calibri" w:eastAsia="Calibri" w:hAnsi="Calibri"/>
          <w:b w:val="false"/>
          <w:bCs w:val="false"/>
          <w:i w:val="false"/>
          <w:iCs w:val="false"/>
          <w:sz w:val="22"/>
          <w:szCs w:val="22"/>
        </w:rPr>
        <w:t xml:space="preserve">The speaker called for the career coach model to begin migrating into middle school and elementary school — not to replace senior-year work, but to feed it. The migration should focus on the four recruitment sectors driving the state's pipeline:</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Advanced manufacturing</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Skilled trades and construction</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Technology and data</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Energy</w:t>
      </w:r>
    </w:p>
    <w:p>
      <w:pPr>
        <w:spacing w:after="120" w:before="240" w:line="300"/>
      </w:pPr>
      <w:r>
        <w:rPr>
          <w:rFonts w:ascii="Calibri" w:cs="Calibri" w:eastAsia="Calibri" w:hAnsi="Calibri"/>
          <w:b/>
          <w:bCs/>
          <w:color w:val="B92C36"/>
          <w:sz w:val="24"/>
          <w:szCs w:val="24"/>
        </w:rPr>
        <w:t xml:space="preserve">Specific recommendations from the speaker</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Bring an eighth grader inside Aluminum Dynamics so they can see what aluminum production actually looks like in 2026 — clean, climate-controlled, computer-monitored. Not what their grandfather did.</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Bring a seventh grader to a Mississippi State or Ole Miss robotics lab to watch students program a manufacturing robot.</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Bring a sixth grader to a data center construction site to watch fiber being pulled and meet the cybersecurity technician.</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Hold a fifth-grade career day where the welder, diesel mechanic, network technician, lineworker, and CNC operator stand next to the doctor and lawyer — all wearing the same kind of name badge.</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Bring women into those rooms. Bring Black, white, Latino, Asian, Native, and immigrant tradespeople so that students never have to imagine themselves as the first one.</w:t>
      </w:r>
    </w:p>
    <w:p>
      <w:pPr>
        <w:pBdr>
          <w:left w:val="single" w:color="0B1F3A" w:sz="16" w:space="10"/>
        </w:pBdr>
        <w:spacing w:after="180" w:before="160" w:line="300"/>
        <w:ind w:left="320" w:right="320"/>
      </w:pPr>
      <w:r>
        <w:rPr>
          <w:rFonts w:ascii="Calibri" w:cs="Calibri" w:eastAsia="Calibri" w:hAnsi="Calibri"/>
          <w:i/>
          <w:iCs/>
          <w:color w:val="0B1F3A"/>
          <w:sz w:val="22"/>
          <w:szCs w:val="22"/>
        </w:rPr>
        <w:t xml:space="preserve">“Career day should not be the day a child eliminates careers. It should be the day a child discovers them.”</w:t>
      </w:r>
    </w:p>
    <w:p>
      <w:pPr>
        <w:spacing w:after="180" w:before="360" w:line="300"/>
      </w:pPr>
      <w:r>
        <w:rPr>
          <w:rFonts w:ascii="Calibri" w:cs="Calibri" w:eastAsia="Calibri" w:hAnsi="Calibri"/>
          <w:b/>
          <w:bCs/>
          <w:color w:val="0B1F3A"/>
          <w:sz w:val="26"/>
          <w:szCs w:val="26"/>
        </w:rPr>
        <w:t xml:space="preserve">And don't forget entrepreneurship</w:t>
      </w:r>
    </w:p>
    <w:p>
      <w:pPr>
        <w:spacing w:after="160" w:line="300"/>
        <w:jc w:val="left"/>
      </w:pPr>
      <w:r>
        <w:rPr>
          <w:rFonts w:ascii="Calibri" w:cs="Calibri" w:eastAsia="Calibri" w:hAnsi="Calibri"/>
          <w:b w:val="false"/>
          <w:bCs w:val="false"/>
          <w:i w:val="false"/>
          <w:iCs w:val="false"/>
          <w:sz w:val="22"/>
          <w:szCs w:val="22"/>
        </w:rPr>
        <w:t xml:space="preserve">Not every student will work for Amazon, xAI, or Aluminum Dynamics. Some will start the next Howard Industries, Taylor Machine Works, Hol-Mac Corporation, Ergon, or Cathead Distillery.</w:t>
      </w:r>
    </w:p>
    <w:p>
      <w:pPr>
        <w:pBdr>
          <w:left w:val="single" w:color="B92C36" w:sz="24" w:space="12"/>
        </w:pBdr>
        <w:shd w:fill="F4F1EA" w:color="F4F1EA" w:val="solid"/>
        <w:spacing w:after="200" w:before="160" w:line="300"/>
        <w:ind w:left="240"/>
      </w:pPr>
      <w:r>
        <w:rPr>
          <w:rFonts w:ascii="Calibri" w:cs="Calibri" w:eastAsia="Calibri" w:hAnsi="Calibri"/>
          <w:b/>
          <w:bCs/>
          <w:color w:val="B92C36"/>
          <w:spacing w:val="4"/>
          <w:sz w:val="18"/>
          <w:szCs w:val="18"/>
        </w:rPr>
        <w:t xml:space="preserve">SMALL BUSINESS CAPITAL  </w:t>
      </w:r>
      <w:r>
        <w:rPr>
          <w:rFonts w:ascii="Calibri" w:cs="Calibri" w:eastAsia="Calibri" w:hAnsi="Calibri"/>
          <w:b/>
          <w:bCs/>
          <w:color w:val="0B1F3A"/>
          <w:sz w:val="22"/>
          <w:szCs w:val="22"/>
        </w:rPr>
        <w:t xml:space="preserve">$91M active capital deployment via SSBCI  |  96 loan guaranties since 2020 totaling $58M+</w:t>
      </w:r>
    </w:p>
    <w:p>
      <w:pPr>
        <w:spacing w:after="120" w:before="240" w:line="300"/>
      </w:pPr>
      <w:r>
        <w:rPr>
          <w:rFonts w:ascii="Calibri" w:cs="Calibri" w:eastAsia="Calibri" w:hAnsi="Calibri"/>
          <w:b/>
          <w:bCs/>
          <w:color w:val="B92C36"/>
          <w:sz w:val="24"/>
          <w:szCs w:val="24"/>
        </w:rPr>
        <w:t xml:space="preserve">MDA's small business and entrepreneurship programs</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$45 million in the MS CDFI Small Business Loan Fund</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$26 million in the Venture Capital Program</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$15 million in the Enhanced Small Business Loan Guaranty</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$5 million in the Mississippi Connect Program</w:t>
      </w:r>
    </w:p>
    <w:p>
      <w:pPr>
        <w:spacing w:after="160" w:line="300"/>
        <w:jc w:val="left"/>
      </w:pPr>
      <w:r>
        <w:rPr>
          <w:rFonts w:ascii="Calibri" w:cs="Calibri" w:eastAsia="Calibri" w:hAnsi="Calibri"/>
          <w:b w:val="false"/>
          <w:bCs w:val="false"/>
          <w:i w:val="false"/>
          <w:iCs w:val="false"/>
          <w:sz w:val="22"/>
          <w:szCs w:val="22"/>
        </w:rPr>
        <w:t xml:space="preserve">Research on entrepreneurial identity development suggests that entrepreneurial self-concept is largely fixed by middle school. The speaker called for early-grade career exposure to include small business owners, contractors, shop owners, food truck operators, software founders, and farmers who have diversified into agritourism.</w:t>
      </w:r>
    </w:p>
    <w:p>
      <w:pPr>
        <w:pBdr>
          <w:bottom w:val="single" w:color="0B1F3A" w:sz="12" w:space="4"/>
        </w:pBdr>
        <w:spacing w:after="240" w:before="480" w:line="300"/>
      </w:pPr>
      <w:r>
        <w:rPr>
          <w:rFonts w:ascii="Calibri" w:cs="Calibri" w:eastAsia="Calibri" w:hAnsi="Calibri"/>
          <w:b/>
          <w:bCs/>
          <w:color w:val="0B1F3A"/>
          <w:spacing w:val="4"/>
          <w:sz w:val="32"/>
          <w:szCs w:val="32"/>
        </w:rPr>
        <w:t xml:space="preserve">PART VI — HOW MDA AND ACCELERATEMS PROVE IT TOGETHER</w:t>
      </w:r>
    </w:p>
    <w:p>
      <w:pPr>
        <w:spacing w:after="160" w:line="300"/>
        <w:jc w:val="left"/>
      </w:pPr>
      <w:r>
        <w:rPr>
          <w:rFonts w:ascii="Calibri" w:cs="Calibri" w:eastAsia="Calibri" w:hAnsi="Calibri"/>
          <w:b w:val="false"/>
          <w:bCs w:val="false"/>
          <w:i w:val="false"/>
          <w:iCs w:val="false"/>
          <w:sz w:val="22"/>
          <w:szCs w:val="22"/>
        </w:rPr>
        <w:t xml:space="preserve">The speaker proposed four commitments for the next 24 months.</w:t>
      </w:r>
    </w:p>
    <w:p>
      <w:pPr>
        <w:spacing w:after="120" w:before="240" w:line="300"/>
      </w:pPr>
      <w:r>
        <w:rPr>
          <w:rFonts w:ascii="Calibri" w:cs="Calibri" w:eastAsia="Calibri" w:hAnsi="Calibri"/>
          <w:b/>
          <w:bCs/>
          <w:color w:val="B92C36"/>
          <w:sz w:val="24"/>
          <w:szCs w:val="24"/>
        </w:rPr>
        <w:t xml:space="preserve">Commitment 1 — Real-time pipeline alignment</w:t>
      </w:r>
    </w:p>
    <w:p>
      <w:pPr>
        <w:spacing w:after="160" w:line="300"/>
        <w:jc w:val="left"/>
      </w:pPr>
      <w:r>
        <w:rPr>
          <w:rFonts w:ascii="Calibri" w:cs="Calibri" w:eastAsia="Calibri" w:hAnsi="Calibri"/>
          <w:b w:val="false"/>
          <w:bCs w:val="false"/>
          <w:i w:val="false"/>
          <w:iCs w:val="false"/>
          <w:sz w:val="22"/>
          <w:szCs w:val="22"/>
        </w:rPr>
        <w:t xml:space="preserve">Within 30 days of an MDA project announcement, the coach in that service area should receive a one-page sheet from AccelerateMS listing the pathways that matter, the credentials that matter, the community college partners that matter, the wages students should expect, and the timeline for first hiring.</w:t>
      </w:r>
    </w:p>
    <w:p>
      <w:pPr>
        <w:spacing w:after="120" w:before="240" w:line="300"/>
      </w:pPr>
      <w:r>
        <w:rPr>
          <w:rFonts w:ascii="Calibri" w:cs="Calibri" w:eastAsia="Calibri" w:hAnsi="Calibri"/>
          <w:b/>
          <w:bCs/>
          <w:color w:val="B92C36"/>
          <w:sz w:val="24"/>
          <w:szCs w:val="24"/>
        </w:rPr>
        <w:t xml:space="preserve">Commitment 2 — Outcome tracking that goes downstream</w:t>
      </w:r>
    </w:p>
    <w:p>
      <w:pPr>
        <w:spacing w:after="160" w:line="300"/>
        <w:jc w:val="left"/>
      </w:pPr>
      <w:r>
        <w:rPr>
          <w:rFonts w:ascii="Calibri" w:cs="Calibri" w:eastAsia="Calibri" w:hAnsi="Calibri"/>
          <w:b w:val="false"/>
          <w:bCs w:val="false"/>
          <w:i w:val="false"/>
          <w:iCs w:val="false"/>
          <w:sz w:val="22"/>
          <w:szCs w:val="22"/>
        </w:rPr>
        <w:t xml:space="preserve">Move beyond “did the senior have a plan at graduation” as the primary metric. Use the state longitudinal tracking database to assess:</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Did the student enroll in the credentialing pathway?</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Did the student complete it?</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Did the student place into a Mississippi job?</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Did the student stay in Mississippi five and ten years out?</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Did the student earn what was promised?</w:t>
      </w:r>
    </w:p>
    <w:p>
      <w:pPr>
        <w:pBdr>
          <w:left w:val="single" w:color="B8860B" w:sz="24" w:space="12"/>
        </w:pBdr>
        <w:shd w:fill="FFFCEC" w:color="FFFCEC" w:val="solid"/>
        <w:spacing w:after="200" w:before="200" w:line="300"/>
        <w:ind w:left="240"/>
      </w:pPr>
      <w:r>
        <w:rPr>
          <w:rFonts w:ascii="Calibri" w:cs="Calibri" w:eastAsia="Calibri" w:hAnsi="Calibri"/>
          <w:b/>
          <w:bCs/>
          <w:i/>
          <w:iCs/>
          <w:color w:val="B8860B"/>
          <w:sz w:val="20"/>
          <w:szCs w:val="20"/>
        </w:rPr>
        <w:t xml:space="preserve">Why this matters:  </w:t>
      </w:r>
      <w:r>
        <w:rPr>
          <w:rFonts w:ascii="Calibri" w:cs="Calibri" w:eastAsia="Calibri" w:hAnsi="Calibri"/>
          <w:i/>
          <w:iCs/>
          <w:color w:val="0B1F3A"/>
          <w:sz w:val="20"/>
          <w:szCs w:val="20"/>
        </w:rPr>
        <w:t xml:space="preserve">If maintained consistently for ten years, this data set becomes the most powerful recruiting tool any state economic development agency has ever assembled. No other state currently has it.</w:t>
      </w:r>
    </w:p>
    <w:p>
      <w:pPr>
        <w:spacing w:after="120" w:before="240" w:line="300"/>
      </w:pPr>
      <w:r>
        <w:rPr>
          <w:rFonts w:ascii="Calibri" w:cs="Calibri" w:eastAsia="Calibri" w:hAnsi="Calibri"/>
          <w:b/>
          <w:bCs/>
          <w:color w:val="B92C36"/>
          <w:sz w:val="24"/>
          <w:szCs w:val="24"/>
        </w:rPr>
        <w:t xml:space="preserve">Commitment 3 — Stories attached to numbers</w:t>
      </w:r>
    </w:p>
    <w:p>
      <w:pPr>
        <w:spacing w:after="160" w:line="300"/>
        <w:jc w:val="left"/>
      </w:pPr>
      <w:r>
        <w:rPr>
          <w:rFonts w:ascii="Calibri" w:cs="Calibri" w:eastAsia="Calibri" w:hAnsi="Calibri"/>
          <w:b w:val="false"/>
          <w:bCs w:val="false"/>
          <w:i w:val="false"/>
          <w:iCs w:val="false"/>
          <w:sz w:val="22"/>
          <w:szCs w:val="22"/>
        </w:rPr>
        <w:t xml:space="preserve">Each quarter, MDA and AccelerateMS will identify three coach success stories that can be told publicly, with permission. Examples cited: the coach in Marshall County who placed three students at a battery facility; the coach in Harrison County who placed a student into welding at the Pascagoula shipyard; the coach in Leflore County who walked an entire eighth grade class through Aluminum Dynamics.</w:t>
      </w:r>
    </w:p>
    <w:p>
      <w:pPr>
        <w:spacing w:after="120" w:before="240" w:line="300"/>
      </w:pPr>
      <w:r>
        <w:rPr>
          <w:rFonts w:ascii="Calibri" w:cs="Calibri" w:eastAsia="Calibri" w:hAnsi="Calibri"/>
          <w:b/>
          <w:bCs/>
          <w:color w:val="B92C36"/>
          <w:sz w:val="24"/>
          <w:szCs w:val="24"/>
        </w:rPr>
        <w:t xml:space="preserve">Commitment 4 — A feedback loop with industry</w:t>
      </w:r>
    </w:p>
    <w:p>
      <w:pPr>
        <w:spacing w:after="160" w:line="300"/>
        <w:jc w:val="left"/>
      </w:pPr>
      <w:r>
        <w:rPr>
          <w:rFonts w:ascii="Calibri" w:cs="Calibri" w:eastAsia="Calibri" w:hAnsi="Calibri"/>
          <w:b w:val="false"/>
          <w:bCs w:val="false"/>
          <w:i w:val="false"/>
          <w:iCs w:val="false"/>
          <w:sz w:val="22"/>
          <w:szCs w:val="22"/>
        </w:rPr>
        <w:t xml:space="preserve">The State Workforce Investment Board (SWIB) provides some employer feedback to AccelerateMS, but it represents only a subset of the universe of companies. Coaches working directly with industry partners are positioned to be the primary feedback channel from employers back to the program.</w:t>
      </w:r>
    </w:p>
    <w:p>
      <w:pPr>
        <w:pBdr>
          <w:left w:val="single" w:color="0B1F3A" w:sz="16" w:space="10"/>
        </w:pBdr>
        <w:spacing w:after="180" w:before="160" w:line="300"/>
        <w:ind w:left="320" w:right="320"/>
      </w:pPr>
      <w:r>
        <w:rPr>
          <w:rFonts w:ascii="Calibri" w:cs="Calibri" w:eastAsia="Calibri" w:hAnsi="Calibri"/>
          <w:i/>
          <w:iCs/>
          <w:color w:val="0B1F3A"/>
          <w:sz w:val="22"/>
          <w:szCs w:val="22"/>
        </w:rPr>
        <w:t xml:space="preserve">“Mississippi has spent twenty years building the recruitment story. The next ten years are about building the talent delivery story, with proof. You are the proof.”</w:t>
      </w:r>
    </w:p>
    <w:p>
      <w:pPr>
        <w:pBdr>
          <w:bottom w:val="single" w:color="0B1F3A" w:sz="12" w:space="4"/>
        </w:pBdr>
        <w:spacing w:after="240" w:before="480" w:line="300"/>
      </w:pPr>
      <w:r>
        <w:rPr>
          <w:rFonts w:ascii="Calibri" w:cs="Calibri" w:eastAsia="Calibri" w:hAnsi="Calibri"/>
          <w:b/>
          <w:bCs/>
          <w:color w:val="0B1F3A"/>
          <w:spacing w:val="4"/>
          <w:sz w:val="32"/>
          <w:szCs w:val="32"/>
        </w:rPr>
        <w:t xml:space="preserve">PART VII — THE CLOSE</w:t>
      </w:r>
    </w:p>
    <w:p>
      <w:pPr>
        <w:spacing w:after="160" w:line="300"/>
        <w:jc w:val="left"/>
      </w:pPr>
      <w:r>
        <w:rPr>
          <w:rFonts w:ascii="Calibri" w:cs="Calibri" w:eastAsia="Calibri" w:hAnsi="Calibri"/>
          <w:b w:val="false"/>
          <w:bCs w:val="false"/>
          <w:i w:val="false"/>
          <w:iCs w:val="false"/>
          <w:sz w:val="22"/>
          <w:szCs w:val="22"/>
        </w:rPr>
        <w:t xml:space="preserve">The speaker concluded by framing every announced project as a future moment in which a Mississippi parent will hand a child a hard hat, a laptop, or a set of keys to a company truck and say, “this is your shot.” That parent will likely never know which specific coach made the difference.</w:t>
      </w:r>
    </w:p>
    <w:p>
      <w:pPr>
        <w:pBdr>
          <w:left w:val="single" w:color="0B1F3A" w:sz="16" w:space="10"/>
        </w:pBdr>
        <w:spacing w:after="180" w:before="160" w:line="300"/>
        <w:ind w:left="320" w:right="320"/>
      </w:pPr>
      <w:r>
        <w:rPr>
          <w:rFonts w:ascii="Calibri" w:cs="Calibri" w:eastAsia="Calibri" w:hAnsi="Calibri"/>
          <w:i/>
          <w:iCs/>
          <w:color w:val="0B1F3A"/>
          <w:sz w:val="22"/>
          <w:szCs w:val="22"/>
        </w:rPr>
        <w:t xml:space="preserve">“You are not in the career counseling business. You are in the believing business.”</w:t>
      </w:r>
    </w:p>
    <w:p>
      <w:pPr>
        <w:spacing w:after="160" w:line="300"/>
        <w:jc w:val="left"/>
      </w:pPr>
      <w:r>
        <w:rPr>
          <w:rFonts w:ascii="Calibri" w:cs="Calibri" w:eastAsia="Calibri" w:hAnsi="Calibri"/>
          <w:b w:val="false"/>
          <w:bCs w:val="false"/>
          <w:i w:val="false"/>
          <w:iCs w:val="false"/>
          <w:sz w:val="22"/>
          <w:szCs w:val="22"/>
        </w:rPr>
        <w:t xml:space="preserve">Closing themes:</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Six years ago, conventional wisdom held that Mississippi could not compete for the kinds of investments now landing here. That conventional wisdom is dead. The 235 announced projects killed it.</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The next conventional wisdom — that Mississippi can recruit the deals but cannot deliver the workforce — is forming now and will also be proven wrong.</w:t>
      </w:r>
    </w:p>
    <w:p>
      <w:pPr>
        <w:pStyle w:val="ListParagraph"/>
        <w:numPr>
          <w:ilvl w:val="0"/>
          <w:numId w:val="1"/>
        </w:numPr>
        <w:spacing w:after="100" w:line="300"/>
      </w:pPr>
      <w:r>
        <w:rPr>
          <w:rFonts w:ascii="Calibri" w:cs="Calibri" w:eastAsia="Calibri" w:hAnsi="Calibri"/>
          <w:b w:val="false"/>
          <w:bCs w:val="false"/>
          <w:i w:val="false"/>
          <w:iCs w:val="false"/>
          <w:sz w:val="22"/>
          <w:szCs w:val="22"/>
        </w:rPr>
        <w:t xml:space="preserve">Coaches will prove it wrong starting Monday morning, by asking of each student in front of them: does this child know what is possible in Mississippi right now?</w:t>
      </w:r>
    </w:p>
    <w:p>
      <w:pPr>
        <w:pBdr>
          <w:left w:val="single" w:color="0B1F3A" w:sz="16" w:space="10"/>
        </w:pBdr>
        <w:spacing w:after="180" w:before="160" w:line="300"/>
        <w:ind w:left="320" w:right="320"/>
      </w:pPr>
      <w:r>
        <w:rPr>
          <w:rFonts w:ascii="Calibri" w:cs="Calibri" w:eastAsia="Calibri" w:hAnsi="Calibri"/>
          <w:i/>
          <w:iCs/>
          <w:color w:val="0B1F3A"/>
          <w:sz w:val="22"/>
          <w:szCs w:val="22"/>
        </w:rPr>
        <w:t xml:space="preserve">“It is here. It is on the way. And it is hiring.”</w:t>
      </w:r>
    </w:p>
    <w:p>
      <w:pPr>
        <w:pBdr>
          <w:bottom w:val="single" w:color="0B1F3A" w:sz="12" w:space="4"/>
        </w:pBdr>
        <w:spacing w:after="240" w:before="480" w:line="300"/>
      </w:pPr>
      <w:r>
        <w:rPr>
          <w:rFonts w:ascii="Calibri" w:cs="Calibri" w:eastAsia="Calibri" w:hAnsi="Calibri"/>
          <w:b/>
          <w:bCs/>
          <w:color w:val="0B1F3A"/>
          <w:spacing w:val="4"/>
          <w:sz w:val="32"/>
          <w:szCs w:val="32"/>
        </w:rPr>
        <w:t xml:space="preserve">KEY TERMS — A QUICK GLOSSARY</w:t>
      </w:r>
    </w:p>
    <w:p>
      <w:pPr>
        <w:spacing w:after="160" w:line="300"/>
        <w:jc w:val="left"/>
      </w:pPr>
      <w:r>
        <w:rPr>
          <w:rFonts w:ascii="Calibri" w:cs="Calibri" w:eastAsia="Calibri" w:hAnsi="Calibri"/>
          <w:b/>
          <w:bCs/>
          <w:i w:val="false"/>
          <w:iCs w:val="false"/>
          <w:color w:val="0B1F3A"/>
          <w:sz w:val="22"/>
          <w:szCs w:val="22"/>
        </w:rPr>
        <w:t xml:space="preserve">AccelerateMS — </w:t>
      </w:r>
      <w:r>
        <w:rPr>
          <w:rFonts w:ascii="Calibri" w:cs="Calibri" w:eastAsia="Calibri" w:hAnsi="Calibri"/>
          <w:b w:val="false"/>
          <w:bCs w:val="false"/>
          <w:i w:val="false"/>
          <w:iCs w:val="false"/>
          <w:sz w:val="22"/>
          <w:szCs w:val="22"/>
        </w:rPr>
        <w:t xml:space="preserve">The state agency overseeing Mississippi's workforce development strategy, including the Career Coach Program.</w:t>
      </w:r>
    </w:p>
    <w:p>
      <w:pPr>
        <w:spacing w:after="160" w:line="300"/>
        <w:jc w:val="left"/>
      </w:pPr>
      <w:r>
        <w:rPr>
          <w:rFonts w:ascii="Calibri" w:cs="Calibri" w:eastAsia="Calibri" w:hAnsi="Calibri"/>
          <w:b/>
          <w:bCs/>
          <w:i w:val="false"/>
          <w:iCs w:val="false"/>
          <w:color w:val="0B1F3A"/>
          <w:sz w:val="22"/>
          <w:szCs w:val="22"/>
        </w:rPr>
        <w:t xml:space="preserve">Career Coach Program — </w:t>
      </w:r>
      <w:r>
        <w:rPr>
          <w:rFonts w:ascii="Calibri" w:cs="Calibri" w:eastAsia="Calibri" w:hAnsi="Calibri"/>
          <w:b w:val="false"/>
          <w:bCs w:val="false"/>
          <w:i w:val="false"/>
          <w:iCs w:val="false"/>
          <w:sz w:val="22"/>
          <w:szCs w:val="22"/>
        </w:rPr>
        <w:t xml:space="preserve">Mississippi's statewide K–12 career navigation program, with 207 coaches embedded across 203 high schools and 96 percent of districts.</w:t>
      </w:r>
    </w:p>
    <w:p>
      <w:pPr>
        <w:spacing w:after="160" w:line="300"/>
        <w:jc w:val="left"/>
      </w:pPr>
      <w:r>
        <w:rPr>
          <w:rFonts w:ascii="Calibri" w:cs="Calibri" w:eastAsia="Calibri" w:hAnsi="Calibri"/>
          <w:b/>
          <w:bCs/>
          <w:i w:val="false"/>
          <w:iCs w:val="false"/>
          <w:color w:val="0B1F3A"/>
          <w:sz w:val="22"/>
          <w:szCs w:val="22"/>
        </w:rPr>
        <w:t xml:space="preserve">Circumscription and Compromise (Gottfredson, 1981) — </w:t>
      </w:r>
      <w:r>
        <w:rPr>
          <w:rFonts w:ascii="Calibri" w:cs="Calibri" w:eastAsia="Calibri" w:hAnsi="Calibri"/>
          <w:b w:val="false"/>
          <w:bCs w:val="false"/>
          <w:i w:val="false"/>
          <w:iCs w:val="false"/>
          <w:sz w:val="22"/>
          <w:szCs w:val="22"/>
        </w:rPr>
        <w:t xml:space="preserve">The dominant theory in vocational psychology describing how children progressively eliminate career options through developmental stages, with prestige and class-based elimination occurring between ages 9 and 13.</w:t>
      </w:r>
    </w:p>
    <w:p>
      <w:pPr>
        <w:spacing w:after="160" w:line="300"/>
        <w:jc w:val="left"/>
      </w:pPr>
      <w:r>
        <w:rPr>
          <w:rFonts w:ascii="Calibri" w:cs="Calibri" w:eastAsia="Calibri" w:hAnsi="Calibri"/>
          <w:b/>
          <w:bCs/>
          <w:i w:val="false"/>
          <w:iCs w:val="false"/>
          <w:color w:val="0B1F3A"/>
          <w:sz w:val="22"/>
          <w:szCs w:val="22"/>
        </w:rPr>
        <w:t xml:space="preserve">CDFI — </w:t>
      </w:r>
      <w:r>
        <w:rPr>
          <w:rFonts w:ascii="Calibri" w:cs="Calibri" w:eastAsia="Calibri" w:hAnsi="Calibri"/>
          <w:b w:val="false"/>
          <w:bCs w:val="false"/>
          <w:i w:val="false"/>
          <w:iCs w:val="false"/>
          <w:sz w:val="22"/>
          <w:szCs w:val="22"/>
        </w:rPr>
        <w:t xml:space="preserve">Community Development Financial Institution. In Mississippi, the CDFI Small Business Loan Fund is a $45M program supporting underserved entrepreneurs.</w:t>
      </w:r>
    </w:p>
    <w:p>
      <w:pPr>
        <w:spacing w:after="160" w:line="300"/>
        <w:jc w:val="left"/>
      </w:pPr>
      <w:r>
        <w:rPr>
          <w:rFonts w:ascii="Calibri" w:cs="Calibri" w:eastAsia="Calibri" w:hAnsi="Calibri"/>
          <w:b/>
          <w:bCs/>
          <w:i w:val="false"/>
          <w:iCs w:val="false"/>
          <w:color w:val="0B1F3A"/>
          <w:sz w:val="22"/>
          <w:szCs w:val="22"/>
        </w:rPr>
        <w:t xml:space="preserve">FAFSA — </w:t>
      </w:r>
      <w:r>
        <w:rPr>
          <w:rFonts w:ascii="Calibri" w:cs="Calibri" w:eastAsia="Calibri" w:hAnsi="Calibri"/>
          <w:b w:val="false"/>
          <w:bCs w:val="false"/>
          <w:i w:val="false"/>
          <w:iCs w:val="false"/>
          <w:sz w:val="22"/>
          <w:szCs w:val="22"/>
        </w:rPr>
        <w:t xml:space="preserve">Free Application for Federal Student Aid. The state's FAFSA completion rate has risen during the Career Coach Program's tenure.</w:t>
      </w:r>
    </w:p>
    <w:p>
      <w:pPr>
        <w:spacing w:after="160" w:line="300"/>
        <w:jc w:val="left"/>
      </w:pPr>
      <w:r>
        <w:rPr>
          <w:rFonts w:ascii="Calibri" w:cs="Calibri" w:eastAsia="Calibri" w:hAnsi="Calibri"/>
          <w:b/>
          <w:bCs/>
          <w:i w:val="false"/>
          <w:iCs w:val="false"/>
          <w:color w:val="0B1F3A"/>
          <w:sz w:val="22"/>
          <w:szCs w:val="22"/>
        </w:rPr>
        <w:t xml:space="preserve">FDI — </w:t>
      </w:r>
      <w:r>
        <w:rPr>
          <w:rFonts w:ascii="Calibri" w:cs="Calibri" w:eastAsia="Calibri" w:hAnsi="Calibri"/>
          <w:b w:val="false"/>
          <w:bCs w:val="false"/>
          <w:i w:val="false"/>
          <w:iCs w:val="false"/>
          <w:sz w:val="22"/>
          <w:szCs w:val="22"/>
        </w:rPr>
        <w:t xml:space="preserve">Foreign Direct Investment. Investment in Mississippi by companies headquartered outside the United States.</w:t>
      </w:r>
    </w:p>
    <w:p>
      <w:pPr>
        <w:spacing w:after="160" w:line="300"/>
        <w:jc w:val="left"/>
      </w:pPr>
      <w:r>
        <w:rPr>
          <w:rFonts w:ascii="Calibri" w:cs="Calibri" w:eastAsia="Calibri" w:hAnsi="Calibri"/>
          <w:b/>
          <w:bCs/>
          <w:i w:val="false"/>
          <w:iCs w:val="false"/>
          <w:color w:val="0B1F3A"/>
          <w:sz w:val="22"/>
          <w:szCs w:val="22"/>
        </w:rPr>
        <w:t xml:space="preserve">MDA — </w:t>
      </w:r>
      <w:r>
        <w:rPr>
          <w:rFonts w:ascii="Calibri" w:cs="Calibri" w:eastAsia="Calibri" w:hAnsi="Calibri"/>
          <w:b w:val="false"/>
          <w:bCs w:val="false"/>
          <w:i w:val="false"/>
          <w:iCs w:val="false"/>
          <w:sz w:val="22"/>
          <w:szCs w:val="22"/>
        </w:rPr>
        <w:t xml:space="preserve">Mississippi Development Authority. The state's economic development agency.</w:t>
      </w:r>
    </w:p>
    <w:p>
      <w:pPr>
        <w:spacing w:after="160" w:line="300"/>
        <w:jc w:val="left"/>
      </w:pPr>
      <w:r>
        <w:rPr>
          <w:rFonts w:ascii="Calibri" w:cs="Calibri" w:eastAsia="Calibri" w:hAnsi="Calibri"/>
          <w:b/>
          <w:bCs/>
          <w:i w:val="false"/>
          <w:iCs w:val="false"/>
          <w:color w:val="0B1F3A"/>
          <w:sz w:val="22"/>
          <w:szCs w:val="22"/>
        </w:rPr>
        <w:t xml:space="preserve">MFLEX — </w:t>
      </w:r>
      <w:r>
        <w:rPr>
          <w:rFonts w:ascii="Calibri" w:cs="Calibri" w:eastAsia="Calibri" w:hAnsi="Calibri"/>
          <w:b w:val="false"/>
          <w:bCs w:val="false"/>
          <w:i w:val="false"/>
          <w:iCs w:val="false"/>
          <w:sz w:val="22"/>
          <w:szCs w:val="22"/>
        </w:rPr>
        <w:t xml:space="preserve">Mississippi's performance-based tax credit program for major investment projects. Credits are clawed back if jobs are not delivered.</w:t>
      </w:r>
    </w:p>
    <w:p>
      <w:pPr>
        <w:spacing w:after="160" w:line="300"/>
        <w:jc w:val="left"/>
      </w:pPr>
      <w:r>
        <w:rPr>
          <w:rFonts w:ascii="Calibri" w:cs="Calibri" w:eastAsia="Calibri" w:hAnsi="Calibri"/>
          <w:b/>
          <w:bCs/>
          <w:i w:val="false"/>
          <w:iCs w:val="false"/>
          <w:color w:val="0B1F3A"/>
          <w:sz w:val="22"/>
          <w:szCs w:val="22"/>
        </w:rPr>
        <w:t xml:space="preserve">Multiplier — </w:t>
      </w:r>
      <w:r>
        <w:rPr>
          <w:rFonts w:ascii="Calibri" w:cs="Calibri" w:eastAsia="Calibri" w:hAnsi="Calibri"/>
          <w:b w:val="false"/>
          <w:bCs w:val="false"/>
          <w:i w:val="false"/>
          <w:iCs w:val="false"/>
          <w:sz w:val="22"/>
          <w:szCs w:val="22"/>
        </w:rPr>
        <w:t xml:space="preserve">An economic development term for the effect by which one anchor employer attracts supply-chain employers, which in turn attract additional anchor employers.</w:t>
      </w:r>
    </w:p>
    <w:p>
      <w:pPr>
        <w:spacing w:after="160" w:line="300"/>
        <w:jc w:val="left"/>
      </w:pPr>
      <w:r>
        <w:rPr>
          <w:rFonts w:ascii="Calibri" w:cs="Calibri" w:eastAsia="Calibri" w:hAnsi="Calibri"/>
          <w:b/>
          <w:bCs/>
          <w:i w:val="false"/>
          <w:iCs w:val="false"/>
          <w:color w:val="0B1F3A"/>
          <w:sz w:val="22"/>
          <w:szCs w:val="22"/>
        </w:rPr>
        <w:t xml:space="preserve">SSBCI — </w:t>
      </w:r>
      <w:r>
        <w:rPr>
          <w:rFonts w:ascii="Calibri" w:cs="Calibri" w:eastAsia="Calibri" w:hAnsi="Calibri"/>
          <w:b w:val="false"/>
          <w:bCs w:val="false"/>
          <w:i w:val="false"/>
          <w:iCs w:val="false"/>
          <w:sz w:val="22"/>
          <w:szCs w:val="22"/>
        </w:rPr>
        <w:t xml:space="preserve">State Small Business Credit Initiative. A federally seeded program supporting small business lending and equity investment in Mississippi.</w:t>
      </w:r>
    </w:p>
    <w:p>
      <w:pPr>
        <w:spacing w:after="160" w:line="300"/>
        <w:jc w:val="left"/>
      </w:pPr>
      <w:r>
        <w:rPr>
          <w:rFonts w:ascii="Calibri" w:cs="Calibri" w:eastAsia="Calibri" w:hAnsi="Calibri"/>
          <w:b/>
          <w:bCs/>
          <w:i w:val="false"/>
          <w:iCs w:val="false"/>
          <w:color w:val="0B1F3A"/>
          <w:sz w:val="22"/>
          <w:szCs w:val="22"/>
        </w:rPr>
        <w:t xml:space="preserve">SWIB — </w:t>
      </w:r>
      <w:r>
        <w:rPr>
          <w:rFonts w:ascii="Calibri" w:cs="Calibri" w:eastAsia="Calibri" w:hAnsi="Calibri"/>
          <w:b w:val="false"/>
          <w:bCs w:val="false"/>
          <w:i w:val="false"/>
          <w:iCs w:val="false"/>
          <w:sz w:val="22"/>
          <w:szCs w:val="22"/>
        </w:rPr>
        <w:t xml:space="preserve">State Workforce Investment Board. Provides employer feedback into Mississippi's workforce development strategy.</w:t>
      </w:r>
    </w:p>
    <w:p>
      <w:pPr>
        <w:pBdr>
          <w:bottom w:val="single" w:color="0B1F3A" w:sz="12" w:space="4"/>
        </w:pBdr>
        <w:spacing w:after="240" w:before="480" w:line="300"/>
      </w:pPr>
      <w:r>
        <w:rPr>
          <w:rFonts w:ascii="Calibri" w:cs="Calibri" w:eastAsia="Calibri" w:hAnsi="Calibri"/>
          <w:b/>
          <w:bCs/>
          <w:color w:val="0B1F3A"/>
          <w:spacing w:val="4"/>
          <w:sz w:val="32"/>
          <w:szCs w:val="32"/>
        </w:rPr>
        <w:t xml:space="preserve">REFERENCES AND SOURCES</w:t>
      </w:r>
    </w:p>
    <w:p>
      <w:pPr>
        <w:spacing w:after="160" w:line="300"/>
        <w:jc w:val="left"/>
      </w:pPr>
      <w:r>
        <w:rPr>
          <w:rFonts w:ascii="Calibri" w:cs="Calibri" w:eastAsia="Calibri" w:hAnsi="Calibri"/>
          <w:b w:val="false"/>
          <w:bCs w:val="false"/>
          <w:i w:val="false"/>
          <w:iCs w:val="false"/>
          <w:sz w:val="22"/>
          <w:szCs w:val="22"/>
        </w:rPr>
        <w:t xml:space="preserve">The following sources support the data and research findings cited in the lecture. All links current as of the lecture date.</w:t>
      </w:r>
    </w:p>
    <w:p>
      <w:pPr>
        <w:spacing w:after="120" w:before="240" w:line="300"/>
      </w:pPr>
      <w:r>
        <w:rPr>
          <w:rFonts w:ascii="Calibri" w:cs="Calibri" w:eastAsia="Calibri" w:hAnsi="Calibri"/>
          <w:b/>
          <w:bCs/>
          <w:color w:val="B92C36"/>
          <w:sz w:val="24"/>
          <w:szCs w:val="24"/>
        </w:rPr>
        <w:t xml:space="preserve">Vocational psychology and career development theory</w:t>
      </w:r>
    </w:p>
    <w:p>
      <w:pPr>
        <w:spacing w:after="160" w:line="300"/>
        <w:jc w:val="left"/>
      </w:pPr>
      <w:r>
        <w:rPr>
          <w:rFonts w:ascii="Calibri" w:cs="Calibri" w:eastAsia="Calibri" w:hAnsi="Calibri"/>
          <w:b w:val="false"/>
          <w:bCs w:val="false"/>
          <w:i w:val="false"/>
          <w:iCs w:val="false"/>
          <w:sz w:val="22"/>
          <w:szCs w:val="22"/>
        </w:rPr>
        <w:t xml:space="preserve">Gottfredson, L. S. (1981). Circumscription and compromise: A developmental theory of occupational aspirations. Journal of Counseling Psychology, 28(6), 545–579. https://doi.org/10.1037/0022-0167.28.6.545</w:t>
      </w:r>
    </w:p>
    <w:p>
      <w:pPr>
        <w:spacing w:after="160" w:line="300"/>
        <w:jc w:val="left"/>
      </w:pPr>
      <w:r>
        <w:rPr>
          <w:rFonts w:ascii="Calibri" w:cs="Calibri" w:eastAsia="Calibri" w:hAnsi="Calibri"/>
          <w:b w:val="false"/>
          <w:bCs w:val="false"/>
          <w:i w:val="false"/>
          <w:iCs w:val="false"/>
          <w:sz w:val="22"/>
          <w:szCs w:val="22"/>
        </w:rPr>
        <w:t xml:space="preserve">Gottfredson, L. S. (2002). Gottfredson's theory of circumscription, compromise, and self-creation. In D. Brown and Associates (Eds.), Career choice and development (4th ed., pp. 85–148). San Francisco: Jossey-Bass.</w:t>
      </w:r>
    </w:p>
    <w:p>
      <w:pPr>
        <w:spacing w:after="160" w:line="300"/>
        <w:jc w:val="left"/>
      </w:pPr>
      <w:r>
        <w:rPr>
          <w:rFonts w:ascii="Calibri" w:cs="Calibri" w:eastAsia="Calibri" w:hAnsi="Calibri"/>
          <w:b w:val="false"/>
          <w:bCs w:val="false"/>
          <w:i w:val="false"/>
          <w:iCs w:val="false"/>
          <w:sz w:val="22"/>
          <w:szCs w:val="22"/>
        </w:rPr>
        <w:t xml:space="preserve">Super, D. E. (1990). A life-span, life-space approach to career development. In D. Brown, L. Brooks, and Associates (Eds.), Career choice and development (2nd ed., pp. 197–261). San Francisco: Jossey-Bass.</w:t>
      </w:r>
    </w:p>
    <w:p>
      <w:pPr>
        <w:spacing w:after="120" w:before="240" w:line="300"/>
      </w:pPr>
      <w:r>
        <w:rPr>
          <w:rFonts w:ascii="Calibri" w:cs="Calibri" w:eastAsia="Calibri" w:hAnsi="Calibri"/>
          <w:b/>
          <w:bCs/>
          <w:color w:val="B92C36"/>
          <w:sz w:val="24"/>
          <w:szCs w:val="24"/>
        </w:rPr>
        <w:t xml:space="preserve">Educational and career aspiration alignment</w:t>
      </w:r>
    </w:p>
    <w:p>
      <w:pPr>
        <w:spacing w:after="160" w:line="300"/>
        <w:jc w:val="left"/>
      </w:pPr>
      <w:r>
        <w:rPr>
          <w:rFonts w:ascii="Calibri" w:cs="Calibri" w:eastAsia="Calibri" w:hAnsi="Calibri"/>
          <w:b w:val="false"/>
          <w:bCs w:val="false"/>
          <w:i w:val="false"/>
          <w:iCs w:val="false"/>
          <w:sz w:val="22"/>
          <w:szCs w:val="22"/>
        </w:rPr>
        <w:t xml:space="preserve">Howard, K. A. S., Carlstrom, A. H., Katz, A. D., Chew, A. Y., Ray, G. C., Laine, L., &amp; Caulum, D. (2011, expanded research published through NIH/PMC, 2017–2022). Career aspirations of youth: Untangling race/ethnicity, SES, and gender. Journal of Vocational Behavior. Cited via the National Institutes of Health's PubMed Central archive: https://www.ncbi.nlm.nih.gov/pmc/articles/PMC5439524/</w:t>
      </w:r>
    </w:p>
    <w:p>
      <w:pPr>
        <w:spacing w:after="120" w:before="240" w:line="300"/>
      </w:pPr>
      <w:r>
        <w:rPr>
          <w:rFonts w:ascii="Calibri" w:cs="Calibri" w:eastAsia="Calibri" w:hAnsi="Calibri"/>
          <w:b/>
          <w:bCs/>
          <w:color w:val="B92C36"/>
          <w:sz w:val="24"/>
          <w:szCs w:val="24"/>
        </w:rPr>
        <w:t xml:space="preserve">Survey research on trades, manufacturing, and counselor guidance</w:t>
      </w:r>
    </w:p>
    <w:p>
      <w:pPr>
        <w:spacing w:after="160" w:line="300"/>
        <w:jc w:val="left"/>
      </w:pPr>
      <w:r>
        <w:rPr>
          <w:rFonts w:ascii="Calibri" w:cs="Calibri" w:eastAsia="Calibri" w:hAnsi="Calibri"/>
          <w:b w:val="false"/>
          <w:bCs w:val="false"/>
          <w:i w:val="false"/>
          <w:iCs w:val="false"/>
          <w:sz w:val="22"/>
          <w:szCs w:val="22"/>
        </w:rPr>
        <w:t xml:space="preserve">Leading2Lean. (2019). Manufacturing in America Survey. Findings include the 75% statistic on counselor recommendations of trade and vocational education. Reported via industry press; original survey accessible through Leading2Lean publications.</w:t>
      </w:r>
    </w:p>
    <w:p>
      <w:pPr>
        <w:spacing w:after="160" w:line="300"/>
        <w:jc w:val="left"/>
      </w:pPr>
      <w:r>
        <w:rPr>
          <w:rFonts w:ascii="Calibri" w:cs="Calibri" w:eastAsia="Calibri" w:hAnsi="Calibri"/>
          <w:b w:val="false"/>
          <w:bCs w:val="false"/>
          <w:i w:val="false"/>
          <w:iCs w:val="false"/>
          <w:sz w:val="22"/>
          <w:szCs w:val="22"/>
        </w:rPr>
        <w:t xml:space="preserve">Metal Supermarkets. (2019). Survey of 18- to 24-year-olds on counselor discussion of trade school. Cited via Metal Supermarkets' published research, https://www.metalsupermarkets.com</w:t>
      </w:r>
    </w:p>
    <w:p>
      <w:pPr>
        <w:spacing w:after="160" w:line="300"/>
        <w:jc w:val="left"/>
      </w:pPr>
      <w:r>
        <w:rPr>
          <w:rFonts w:ascii="Calibri" w:cs="Calibri" w:eastAsia="Calibri" w:hAnsi="Calibri"/>
          <w:b w:val="false"/>
          <w:bCs w:val="false"/>
          <w:i w:val="false"/>
          <w:iCs w:val="false"/>
          <w:sz w:val="22"/>
          <w:szCs w:val="22"/>
        </w:rPr>
        <w:t xml:space="preserve">Jobber. (2023). Blue Collar Report. Findings include the 79% Gen Z parental preference statistic and the 5% trade encouragement statistic. https://getjobber.com/academy/blue-collar-report/</w:t>
      </w:r>
    </w:p>
    <w:p>
      <w:pPr>
        <w:spacing w:after="160" w:line="300"/>
        <w:jc w:val="left"/>
      </w:pPr>
      <w:r>
        <w:rPr>
          <w:rFonts w:ascii="Calibri" w:cs="Calibri" w:eastAsia="Calibri" w:hAnsi="Calibri"/>
          <w:b w:val="false"/>
          <w:bCs w:val="false"/>
          <w:i w:val="false"/>
          <w:iCs w:val="false"/>
          <w:sz w:val="22"/>
          <w:szCs w:val="22"/>
        </w:rPr>
        <w:t xml:space="preserve">Manufacturing Institute and Deloitte. (2022). Creating pathways for tomorrow's workforce today. Study on manufacturing workforce perception. https://www.themanufacturinginstitute.org</w:t>
      </w:r>
    </w:p>
    <w:p>
      <w:pPr>
        <w:spacing w:after="120" w:before="240" w:line="300"/>
      </w:pPr>
      <w:r>
        <w:rPr>
          <w:rFonts w:ascii="Calibri" w:cs="Calibri" w:eastAsia="Calibri" w:hAnsi="Calibri"/>
          <w:b/>
          <w:bCs/>
          <w:color w:val="B92C36"/>
          <w:sz w:val="24"/>
          <w:szCs w:val="24"/>
        </w:rPr>
        <w:t xml:space="preserve">Labor market data</w:t>
      </w:r>
    </w:p>
    <w:p>
      <w:pPr>
        <w:spacing w:after="160" w:line="300"/>
        <w:jc w:val="left"/>
      </w:pPr>
      <w:r>
        <w:rPr>
          <w:rFonts w:ascii="Calibri" w:cs="Calibri" w:eastAsia="Calibri" w:hAnsi="Calibri"/>
          <w:b w:val="false"/>
          <w:bCs w:val="false"/>
          <w:i w:val="false"/>
          <w:iCs w:val="false"/>
          <w:sz w:val="22"/>
          <w:szCs w:val="22"/>
        </w:rPr>
        <w:t xml:space="preserve">U.S. Bureau of Labor Statistics, Current Population Survey, Household Data Annual Averages: Employed Persons by Detailed Industry and Age. The 2× ratio of workers age 35–44 to workers age 16–24 in motor vehicle manufacturing, mining, and skilled trades is derived from BLS Table 18b. https://www.bls.gov/cps/tables.htm</w:t>
      </w:r>
    </w:p>
    <w:p>
      <w:pPr>
        <w:spacing w:after="160" w:line="300"/>
        <w:jc w:val="left"/>
      </w:pPr>
      <w:r>
        <w:rPr>
          <w:rFonts w:ascii="Calibri" w:cs="Calibri" w:eastAsia="Calibri" w:hAnsi="Calibri"/>
          <w:b w:val="false"/>
          <w:bCs w:val="false"/>
          <w:i w:val="false"/>
          <w:iCs w:val="false"/>
          <w:sz w:val="22"/>
          <w:szCs w:val="22"/>
        </w:rPr>
        <w:t xml:space="preserve">U.S. Bureau of Labor Statistics, Employment Projections, Mississippi state-level data. https://www.bls.gov/eag/eag.ms.htm</w:t>
      </w:r>
    </w:p>
    <w:p>
      <w:pPr>
        <w:spacing w:after="120" w:before="240" w:line="300"/>
      </w:pPr>
      <w:r>
        <w:rPr>
          <w:rFonts w:ascii="Calibri" w:cs="Calibri" w:eastAsia="Calibri" w:hAnsi="Calibri"/>
          <w:b/>
          <w:bCs/>
          <w:color w:val="B92C36"/>
          <w:sz w:val="24"/>
          <w:szCs w:val="24"/>
        </w:rPr>
        <w:t xml:space="preserve">Mississippi project announcements and economic data</w:t>
      </w:r>
    </w:p>
    <w:p>
      <w:pPr>
        <w:spacing w:after="160" w:line="300"/>
        <w:jc w:val="left"/>
      </w:pPr>
      <w:r>
        <w:rPr>
          <w:rFonts w:ascii="Calibri" w:cs="Calibri" w:eastAsia="Calibri" w:hAnsi="Calibri"/>
          <w:b w:val="false"/>
          <w:bCs w:val="false"/>
          <w:i w:val="false"/>
          <w:iCs w:val="false"/>
          <w:sz w:val="22"/>
          <w:szCs w:val="22"/>
        </w:rPr>
        <w:t xml:space="preserve">Mississippi Development Authority. (2026). Q1 2026 Update. Includes capital investment summary, MFLEX totals, Site Development data, International Trade summary, and Visit Mississippi data. Available via MDA: https://mississippi.org</w:t>
      </w:r>
    </w:p>
    <w:p>
      <w:pPr>
        <w:spacing w:after="160" w:line="300"/>
        <w:jc w:val="left"/>
      </w:pPr>
      <w:r>
        <w:rPr>
          <w:rFonts w:ascii="Calibri" w:cs="Calibri" w:eastAsia="Calibri" w:hAnsi="Calibri"/>
          <w:b w:val="false"/>
          <w:bCs w:val="false"/>
          <w:i w:val="false"/>
          <w:iCs w:val="false"/>
          <w:sz w:val="22"/>
          <w:szCs w:val="22"/>
        </w:rPr>
        <w:t xml:space="preserve">Mississippi Development Authority. (2026). MFLEX Program Summary. 103 companies, $4.47B capital investment, 8,420 jobs, $258M in credits, as of April 13, 2026. https://mississippi.org/mflex</w:t>
      </w:r>
    </w:p>
    <w:p>
      <w:pPr>
        <w:spacing w:after="160" w:line="300"/>
        <w:jc w:val="left"/>
      </w:pPr>
      <w:r>
        <w:rPr>
          <w:rFonts w:ascii="Calibri" w:cs="Calibri" w:eastAsia="Calibri" w:hAnsi="Calibri"/>
          <w:b w:val="false"/>
          <w:bCs w:val="false"/>
          <w:i w:val="false"/>
          <w:iCs w:val="false"/>
          <w:sz w:val="22"/>
          <w:szCs w:val="22"/>
        </w:rPr>
        <w:t xml:space="preserve">Mississippi Development Authority and Office of the Governor of Mississippi. (2024–2026). Project announcements including xAI ($20B, DeSoto County, January 2026), Amazon Web Services ($25B combined across Madison, Hinds, and Warren Counties, 2024–2026), Aluminum Dynamics ($2.5B, Lowndes County), Amplify Cell Technologies ($1.9B, Marshall County), AVAIO Digital ($6B), Compass Datacenters ($10B), Siemens Energy ($300M).</w:t>
      </w:r>
    </w:p>
    <w:p>
      <w:pPr>
        <w:spacing w:after="160" w:line="300"/>
        <w:jc w:val="left"/>
      </w:pPr>
      <w:r>
        <w:rPr>
          <w:rFonts w:ascii="Calibri" w:cs="Calibri" w:eastAsia="Calibri" w:hAnsi="Calibri"/>
          <w:b w:val="false"/>
          <w:bCs w:val="false"/>
          <w:i w:val="false"/>
          <w:iCs w:val="false"/>
          <w:sz w:val="22"/>
          <w:szCs w:val="22"/>
        </w:rPr>
        <w:t xml:space="preserve">AccelerateMS. (2026). Career Coach Program reach data. 207 coaches across 203 high schools and 96% of school districts; 134 coaches in their third year or more. https://acceleratems.org</w:t>
      </w:r>
    </w:p>
    <w:p>
      <w:pPr>
        <w:spacing w:after="120" w:before="240" w:line="300"/>
      </w:pPr>
      <w:r>
        <w:rPr>
          <w:rFonts w:ascii="Calibri" w:cs="Calibri" w:eastAsia="Calibri" w:hAnsi="Calibri"/>
          <w:b/>
          <w:bCs/>
          <w:color w:val="B92C36"/>
          <w:sz w:val="24"/>
          <w:szCs w:val="24"/>
        </w:rPr>
        <w:t xml:space="preserve">International trade and export data</w:t>
      </w:r>
    </w:p>
    <w:p>
      <w:pPr>
        <w:spacing w:after="160" w:line="300"/>
        <w:jc w:val="left"/>
      </w:pPr>
      <w:r>
        <w:rPr>
          <w:rFonts w:ascii="Calibri" w:cs="Calibri" w:eastAsia="Calibri" w:hAnsi="Calibri"/>
          <w:b w:val="false"/>
          <w:bCs w:val="false"/>
          <w:i w:val="false"/>
          <w:iCs w:val="false"/>
          <w:sz w:val="22"/>
          <w:szCs w:val="22"/>
        </w:rPr>
        <w:t xml:space="preserve">S&amp;P Global. (2025). Mississippi Export Statistics. Annual exports of $14.22 billion to 186 foreign markets. Cited in MDA's Q1 2026 Update. https://www.spglobal.com</w:t>
      </w:r>
    </w:p>
    <w:p>
      <w:pPr>
        <w:spacing w:after="160" w:line="300"/>
        <w:jc w:val="left"/>
      </w:pPr>
      <w:r>
        <w:rPr>
          <w:rFonts w:ascii="Calibri" w:cs="Calibri" w:eastAsia="Calibri" w:hAnsi="Calibri"/>
          <w:b w:val="false"/>
          <w:bCs w:val="false"/>
          <w:i w:val="false"/>
          <w:iCs w:val="false"/>
          <w:sz w:val="22"/>
          <w:szCs w:val="22"/>
        </w:rPr>
        <w:t xml:space="preserve">U.S. Census Bureau, Foreign Trade Division, State Exports by NAICS and HS Codes. https://www.census.gov/foreign-trade</w:t>
      </w:r>
    </w:p>
    <w:p>
      <w:pPr>
        <w:spacing w:after="120" w:before="240" w:line="300"/>
      </w:pPr>
      <w:r>
        <w:rPr>
          <w:rFonts w:ascii="Calibri" w:cs="Calibri" w:eastAsia="Calibri" w:hAnsi="Calibri"/>
          <w:b/>
          <w:bCs/>
          <w:color w:val="B92C36"/>
          <w:sz w:val="24"/>
          <w:szCs w:val="24"/>
        </w:rPr>
        <w:t xml:space="preserve">Mississippi workforce development legislation and programs</w:t>
      </w:r>
    </w:p>
    <w:p>
      <w:pPr>
        <w:spacing w:after="160" w:line="300"/>
        <w:jc w:val="left"/>
      </w:pPr>
      <w:r>
        <w:rPr>
          <w:rFonts w:ascii="Calibri" w:cs="Calibri" w:eastAsia="Calibri" w:hAnsi="Calibri"/>
          <w:b w:val="false"/>
          <w:bCs w:val="false"/>
          <w:i w:val="false"/>
          <w:iCs w:val="false"/>
          <w:sz w:val="22"/>
          <w:szCs w:val="22"/>
        </w:rPr>
        <w:t xml:space="preserve">Mississippi House Bill 1388 (2022 Regular Session). Establishes the AccelerateMS Career Coach Network and funding structure. http://billstatus.ls.state.ms.us</w:t>
      </w:r>
    </w:p>
    <w:p>
      <w:pPr>
        <w:spacing w:after="160" w:line="300"/>
        <w:jc w:val="left"/>
      </w:pPr>
      <w:r>
        <w:rPr>
          <w:rFonts w:ascii="Calibri" w:cs="Calibri" w:eastAsia="Calibri" w:hAnsi="Calibri"/>
          <w:b w:val="false"/>
          <w:bCs w:val="false"/>
          <w:i w:val="false"/>
          <w:iCs w:val="false"/>
          <w:sz w:val="22"/>
          <w:szCs w:val="22"/>
        </w:rPr>
        <w:t xml:space="preserve">State Workforce Investment Board of Mississippi. Annual reports and employer feedback summaries. https://swib.ms.gov</w:t>
      </w:r>
    </w:p>
    <w:p>
      <w:pPr>
        <w:spacing w:after="100" w:before="100"/>
        <w:jc w:val="center"/>
      </w:pPr>
      <w:r>
        <w:rPr>
          <w:rFonts w:ascii="Calibri" w:cs="Calibri" w:eastAsia="Calibri" w:hAnsi="Calibri"/>
          <w:color w:val="555555"/>
          <w:sz w:val="20"/>
          <w:szCs w:val="20"/>
        </w:rPr>
        <w:t xml:space="preserve">· · ·</w:t>
      </w:r>
    </w:p>
    <w:p>
      <w:pPr>
        <w:spacing w:after="160" w:line="300"/>
        <w:jc w:val="center"/>
      </w:pPr>
      <w:r>
        <w:rPr>
          <w:rFonts w:ascii="Calibri" w:cs="Calibri" w:eastAsia="Calibri" w:hAnsi="Calibri"/>
          <w:b w:val="false"/>
          <w:bCs w:val="false"/>
          <w:i/>
          <w:iCs/>
          <w:color w:val="555555"/>
          <w:sz w:val="22"/>
          <w:szCs w:val="22"/>
        </w:rPr>
        <w:t xml:space="preserve">Compiled from remarks delivered by Bill Cork, Executive Director, Mississippi Development Authority, to the AccelerateMS Career Coach Convening, Starkville, Mississippi.</w:t>
      </w:r>
    </w:p>
    <w:sectPr>
      <w:footerReference w:type="default" r:id="rId7"/>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Calibri" w:cs="Calibri" w:eastAsia="Calibri" w:hAnsi="Calibri"/>
        <w:i/>
        <w:iCs/>
        <w:color w:val="555555"/>
        <w:sz w:val="16"/>
        <w:szCs w:val="16"/>
      </w:rPr>
      <w:t xml:space="preserve">Classroom Notes — AccelerateMS Career Coach Convening  |  </w:t>
    </w:r>
    <w:r>
      <w:rPr>
        <w:rFonts w:ascii="Calibri" w:cs="Calibri" w:eastAsia="Calibri" w:hAnsi="Calibri"/>
        <w:i/>
        <w:iCs/>
        <w:color w:val="555555"/>
        <w:sz w:val="16"/>
        <w:szCs w:val="16"/>
      </w:rPr>
      <w:fldChar w:fldCharType="begin"/>
      <w:instrText xml:space="preserve">PAGE</w:instrText>
      <w:fldChar w:fldCharType="separate"/>
      <w:fldChar w:fldCharType="end"/>
    </w:r>
    <w:r>
      <w:rPr>
        <w:rFonts w:ascii="Calibri" w:cs="Calibri" w:eastAsia="Calibri" w:hAnsi="Calibri"/>
        <w:i/>
        <w:iCs/>
        <w:color w:val="555555"/>
        <w:sz w:val="16"/>
        <w:szCs w:val="16"/>
      </w:rPr>
      <w:t xml:space="preserve">  of  </w:t>
    </w:r>
    <w:r>
      <w:rPr>
        <w:rFonts w:ascii="Calibri" w:cs="Calibri" w:eastAsia="Calibri" w:hAnsi="Calibri"/>
        <w:i/>
        <w:iCs/>
        <w:color w:val="555555"/>
        <w:sz w:val="16"/>
        <w:szCs w:val="16"/>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2026-05-12T21:57:21.003Z</dcterms:created>
  <dcterms:modified xsi:type="dcterms:W3CDTF">2026-05-12T21:57:21.016Z</dcterms:modified>
</cp:coreProperties>
</file>

<file path=docProps/custom.xml><?xml version="1.0" encoding="utf-8"?>
<Properties xmlns="http://schemas.openxmlformats.org/officeDocument/2006/custom-properties" xmlns:vt="http://schemas.openxmlformats.org/officeDocument/2006/docPropsVTypes"/>
</file>